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9637B" w14:textId="77777777" w:rsidR="005F0D69" w:rsidRPr="00CE0E8F" w:rsidRDefault="005F0D69" w:rsidP="005F0D69">
      <w:pPr>
        <w:rPr>
          <w:rFonts w:ascii="Calibri" w:hAnsi="Calibri"/>
          <w:i/>
          <w:sz w:val="16"/>
          <w:szCs w:val="16"/>
        </w:rPr>
      </w:pPr>
      <w:r w:rsidRPr="00CE0E8F">
        <w:rPr>
          <w:rFonts w:ascii="Calibri" w:hAnsi="Calibri"/>
          <w:b/>
          <w:bCs/>
          <w:i/>
          <w:sz w:val="16"/>
        </w:rPr>
        <w:t>Diário de um Homem Só II, Manual para Viúvos, d</w:t>
      </w:r>
      <w:r>
        <w:rPr>
          <w:rFonts w:ascii="Calibri" w:hAnsi="Calibri"/>
          <w:b/>
          <w:bCs/>
          <w:i/>
          <w:sz w:val="16"/>
        </w:rPr>
        <w:t>e</w:t>
      </w:r>
      <w:r w:rsidRPr="00CE0E8F">
        <w:rPr>
          <w:rFonts w:ascii="Calibri" w:hAnsi="Calibri"/>
          <w:b/>
          <w:bCs/>
          <w:i/>
          <w:sz w:val="16"/>
        </w:rPr>
        <w:t xml:space="preserve"> Chrys Chrystello</w:t>
      </w:r>
      <w:r w:rsidRPr="008E1D2F">
        <w:rPr>
          <w:rFonts w:ascii="Calibri" w:hAnsi="Calibri"/>
          <w:i/>
          <w:sz w:val="16"/>
        </w:rPr>
        <w:t xml:space="preserve">, mergulha </w:t>
      </w:r>
      <w:r>
        <w:rPr>
          <w:rFonts w:ascii="Calibri" w:hAnsi="Calibri"/>
          <w:i/>
          <w:sz w:val="16"/>
        </w:rPr>
        <w:t>pro</w:t>
      </w:r>
      <w:r w:rsidRPr="008E1D2F">
        <w:rPr>
          <w:rFonts w:ascii="Calibri" w:hAnsi="Calibri"/>
          <w:i/>
          <w:sz w:val="16"/>
        </w:rPr>
        <w:t>fund</w:t>
      </w:r>
      <w:r>
        <w:rPr>
          <w:rFonts w:ascii="Calibri" w:hAnsi="Calibri"/>
          <w:i/>
          <w:sz w:val="16"/>
        </w:rPr>
        <w:t>amente</w:t>
      </w:r>
      <w:r w:rsidRPr="008E1D2F">
        <w:rPr>
          <w:rFonts w:ascii="Calibri" w:hAnsi="Calibri"/>
          <w:i/>
          <w:sz w:val="16"/>
        </w:rPr>
        <w:t xml:space="preserve"> na solidão. O livro é praticamente um mergulho na cabeça de um homem que, sozinho, vai tentando entender </w:t>
      </w:r>
      <w:r>
        <w:rPr>
          <w:rFonts w:ascii="Calibri" w:hAnsi="Calibri"/>
          <w:i/>
          <w:sz w:val="16"/>
        </w:rPr>
        <w:t xml:space="preserve">a </w:t>
      </w:r>
      <w:r w:rsidRPr="008E1D2F">
        <w:rPr>
          <w:rFonts w:ascii="Calibri" w:hAnsi="Calibri"/>
          <w:i/>
          <w:sz w:val="16"/>
        </w:rPr>
        <w:t>sua própria existência e tudo ao redor. O formato de diário deixa tudo mais íntimo — a gente acompanha os pensamentos, os altos e baixos, os medos, as lembranças e até aquelas perguntas que ninguém responde. Chrystello escreve com uma pegada meio poética, meio filosófica, e não foge de temas como alienação, nostalgia e essa busca quase desesperada por sentido. O protagonista sente o peso da solidão</w:t>
      </w:r>
      <w:r w:rsidRPr="00CE0E8F">
        <w:rPr>
          <w:rFonts w:ascii="Calibri" w:hAnsi="Calibri"/>
          <w:i/>
          <w:sz w:val="16"/>
          <w:szCs w:val="16"/>
        </w:rPr>
        <w:t>, claro, mas também encontra uns momentos de lucidez, de autoconhecimento. No fim d</w:t>
      </w:r>
      <w:r>
        <w:rPr>
          <w:rFonts w:ascii="Calibri" w:hAnsi="Calibri"/>
          <w:i/>
          <w:sz w:val="16"/>
          <w:szCs w:val="16"/>
        </w:rPr>
        <w:t>e</w:t>
      </w:r>
      <w:r w:rsidRPr="00CE0E8F">
        <w:rPr>
          <w:rFonts w:ascii="Calibri" w:hAnsi="Calibri"/>
          <w:i/>
          <w:sz w:val="16"/>
          <w:szCs w:val="16"/>
        </w:rPr>
        <w:t xml:space="preserve"> contas, a história mistura o pessoal com o universal, e faz a gente pensar. É um livro que faz olhar p</w:t>
      </w:r>
      <w:r>
        <w:rPr>
          <w:rFonts w:ascii="Calibri" w:hAnsi="Calibri"/>
          <w:i/>
          <w:sz w:val="16"/>
          <w:szCs w:val="16"/>
        </w:rPr>
        <w:t>a</w:t>
      </w:r>
      <w:r w:rsidRPr="00CE0E8F">
        <w:rPr>
          <w:rFonts w:ascii="Calibri" w:hAnsi="Calibri"/>
          <w:i/>
          <w:sz w:val="16"/>
          <w:szCs w:val="16"/>
        </w:rPr>
        <w:t>ra dentro, sem pressa.</w:t>
      </w:r>
    </w:p>
    <w:p w14:paraId="4D0A2226" w14:textId="77777777" w:rsidR="005F0D69" w:rsidRPr="00CE0E8F" w:rsidRDefault="005F0D69" w:rsidP="005F0D69">
      <w:pPr>
        <w:rPr>
          <w:rFonts w:ascii="Calibri" w:hAnsi="Calibri"/>
          <w:i/>
          <w:sz w:val="16"/>
          <w:szCs w:val="16"/>
        </w:rPr>
      </w:pPr>
    </w:p>
    <w:p w14:paraId="18CCFC0D" w14:textId="77777777" w:rsidR="005F0D69" w:rsidRPr="00CE0E8F" w:rsidRDefault="005F0D69" w:rsidP="005F0D69">
      <w:pPr>
        <w:rPr>
          <w:rStyle w:val="FootnoteReference"/>
          <w:i w:val="0"/>
          <w:szCs w:val="16"/>
        </w:rPr>
      </w:pPr>
      <w:r w:rsidRPr="00CE0E8F">
        <w:rPr>
          <w:rFonts w:ascii="Calibri" w:hAnsi="Calibri"/>
          <w:i/>
          <w:sz w:val="16"/>
          <w:szCs w:val="16"/>
        </w:rPr>
        <w:t xml:space="preserve">Além de ser um relato pessoal, o livro traz uma reflexão universal sobre a solidão. Ele se torna acessível a todos que já passaram por momentos de profunda solidão. O estilo lírico e a profundidade emocional criam uma impressão duradoura. Isso o caracteriza como uma investigação tocante sobre o que significa estar só no mundo. </w:t>
      </w:r>
      <w:r w:rsidRPr="00CE0E8F">
        <w:rPr>
          <w:rFonts w:ascii="Calibri" w:hAnsi="Calibri"/>
          <w:b/>
          <w:bCs/>
          <w:i/>
          <w:sz w:val="16"/>
          <w:szCs w:val="16"/>
        </w:rPr>
        <w:t xml:space="preserve">A obra ChrónicAçores, vol. 9 (2025) , Diário de um Homem Só II: Manual para Viúvos, de Chrys Chrystello, </w:t>
      </w:r>
      <w:r w:rsidRPr="00CE0E8F">
        <w:rPr>
          <w:rFonts w:ascii="Calibri" w:hAnsi="Calibri"/>
          <w:i/>
          <w:sz w:val="16"/>
          <w:szCs w:val="16"/>
        </w:rPr>
        <w:t xml:space="preserve">é um livro híbrido. Ele está entre o diário íntimo, a crónica jornalística, o ensaio cívico e o testemunho autobiográfico. </w:t>
      </w:r>
      <w:r>
        <w:rPr>
          <w:rFonts w:ascii="Calibri" w:hAnsi="Calibri"/>
          <w:i/>
          <w:sz w:val="16"/>
          <w:szCs w:val="16"/>
        </w:rPr>
        <w:t>A s</w:t>
      </w:r>
      <w:r w:rsidRPr="00CE0E8F">
        <w:rPr>
          <w:rFonts w:ascii="Calibri" w:hAnsi="Calibri"/>
          <w:i/>
          <w:sz w:val="16"/>
          <w:szCs w:val="16"/>
        </w:rPr>
        <w:t>ua unidade não é temática no sentido clássico, mas existencial.</w:t>
      </w:r>
    </w:p>
    <w:p w14:paraId="0AEE35F3" w14:textId="77777777" w:rsidR="005F0D69" w:rsidRPr="001E240F" w:rsidRDefault="005F0D69" w:rsidP="005F0D69">
      <w:pPr>
        <w:ind w:left="284" w:firstLine="284"/>
        <w:rPr>
          <w:rStyle w:val="FootnoteReference"/>
        </w:rPr>
      </w:pPr>
    </w:p>
    <w:p w14:paraId="6F9859BB" w14:textId="77777777" w:rsidR="005F0D69" w:rsidRDefault="005F0D69" w:rsidP="005F0D69">
      <w:pPr>
        <w:ind w:left="284" w:firstLine="284"/>
        <w:rPr>
          <w:rFonts w:ascii="Calibri" w:hAnsi="Calibri"/>
          <w:b/>
          <w:bCs/>
          <w:i/>
          <w:sz w:val="16"/>
        </w:rPr>
      </w:pPr>
      <w:r w:rsidRPr="0094415C">
        <w:rPr>
          <w:rFonts w:ascii="Calibri" w:hAnsi="Calibri"/>
          <w:b/>
          <w:bCs/>
          <w:i/>
          <w:sz w:val="16"/>
        </w:rPr>
        <w:t xml:space="preserve">ChrónicAçores, vol. 9 (2025) – Diário de um Homem Só II: Manual para Viúvos, de Chrys Chrystello, é aquele tipo de livro que desafia qualquer rótulo fácil. Ele mistura diário íntimo, crónica jornalística, ensaio cívico-político, memorial, até elegia — tudo junto, sem pedir licença. Não segue um tema clássico, gira mais em torno de uma busca existencial. O livro não quer saber de regras tradicionais. Não tem prefácio, nem posfácio. Isso deixa tudo ainda mais cru, direto, quase como se o autor estivesse conversando sem filtro. O texto é um registo de sobrevivência. Não foi escrito para agradar </w:t>
      </w:r>
      <w:r>
        <w:rPr>
          <w:rFonts w:ascii="Calibri" w:hAnsi="Calibri"/>
          <w:b/>
          <w:bCs/>
          <w:i/>
          <w:sz w:val="16"/>
        </w:rPr>
        <w:t xml:space="preserve">a </w:t>
      </w:r>
      <w:r w:rsidRPr="0094415C">
        <w:rPr>
          <w:rFonts w:ascii="Calibri" w:hAnsi="Calibri"/>
          <w:b/>
          <w:bCs/>
          <w:i/>
          <w:sz w:val="16"/>
        </w:rPr>
        <w:t>ninguém — foi escrito porque precisava existir.</w:t>
      </w:r>
    </w:p>
    <w:p w14:paraId="42B74C73" w14:textId="77777777" w:rsidR="005F0D69" w:rsidRPr="001E240F" w:rsidRDefault="005F0D69" w:rsidP="005F0D69">
      <w:pPr>
        <w:ind w:left="284" w:firstLine="284"/>
        <w:rPr>
          <w:rStyle w:val="FootnoteReference"/>
        </w:rPr>
      </w:pPr>
      <w:r>
        <w:rPr>
          <w:rStyle w:val="FootnoteReference"/>
        </w:rPr>
        <w:pict w14:anchorId="38FE584C">
          <v:rect id="_x0000_i1058" style="width:0;height:1.5pt" o:hrstd="t" o:hr="t" fillcolor="#a0a0a0" stroked="f"/>
        </w:pict>
      </w:r>
    </w:p>
    <w:p w14:paraId="0CFCB8D0" w14:textId="77777777" w:rsidR="005F0D69" w:rsidRPr="001E240F" w:rsidRDefault="005F0D69" w:rsidP="005F0D69">
      <w:pPr>
        <w:ind w:left="284" w:firstLine="284"/>
        <w:rPr>
          <w:rStyle w:val="FootnoteReference"/>
        </w:rPr>
      </w:pPr>
      <w:r w:rsidRPr="00262EBC">
        <w:rPr>
          <w:rFonts w:ascii="Calibri" w:hAnsi="Calibri"/>
          <w:b/>
          <w:bCs/>
          <w:i/>
          <w:sz w:val="16"/>
        </w:rPr>
        <w:t>O coração da obra está na experiência da perda. Não é só sobre a morte de Helena Chrystello — tudo começa a se desfazer a partir daí: a identidade do autor, a noção de tempo, o corpo que adoece, envelhece, passa por hospitais, e até o jeito de se relacionar com o mundo, seja ele social ou político. A viuvez não aparece como um simples episódio, mas como uma condição que nunca vai embora. “Manual para Viúvos” tem esse nome meio irónico, porque, de verdade, não existe manual nenhum. Não tem instrução, só constatação. A dor não se resolve, ela só se mostra. Se tivesse que escolher uma frase para resumir o livro, seria: “A dor pessoal é maior que as dores do mundo.” É isso que sustenta a obra inteira. Por isso o autor mistura textos tão pessoais com crónicas políticas — ele olha para o mundo a partir da própria perda, nunca o contrário.</w:t>
      </w:r>
      <w:r>
        <w:rPr>
          <w:rStyle w:val="FootnoteReference"/>
        </w:rPr>
        <w:pict w14:anchorId="108E2CAF">
          <v:rect id="_x0000_i1051" style="width:0;height:1.5pt" o:hrstd="t" o:hr="t" fillcolor="#a0a0a0" stroked="f"/>
        </w:pict>
      </w:r>
    </w:p>
    <w:p w14:paraId="564ABFA7" w14:textId="77777777" w:rsidR="005F0D69" w:rsidRPr="001E240F" w:rsidRDefault="005F0D69" w:rsidP="005F0D69">
      <w:pPr>
        <w:ind w:left="284" w:firstLine="284"/>
        <w:rPr>
          <w:rStyle w:val="FootnoteReference"/>
        </w:rPr>
      </w:pPr>
      <w:r w:rsidRPr="0094415C">
        <w:rPr>
          <w:rFonts w:ascii="Calibri" w:hAnsi="Calibri"/>
          <w:b/>
          <w:bCs/>
          <w:i/>
          <w:sz w:val="16"/>
        </w:rPr>
        <w:t xml:space="preserve">Escrever em três frentes principais. Primeiro, vem a catarse pessoal. O autor escreve para não </w:t>
      </w:r>
      <w:r>
        <w:rPr>
          <w:rFonts w:ascii="Calibri" w:hAnsi="Calibri"/>
          <w:b/>
          <w:bCs/>
          <w:i/>
          <w:sz w:val="16"/>
        </w:rPr>
        <w:t>desaparecer</w:t>
      </w:r>
      <w:r w:rsidRPr="0094415C">
        <w:rPr>
          <w:rFonts w:ascii="Calibri" w:hAnsi="Calibri"/>
          <w:b/>
          <w:bCs/>
          <w:i/>
          <w:sz w:val="16"/>
        </w:rPr>
        <w:t>, para dar algum sentido ao caos — físico e emocional. Fala de cancr</w:t>
      </w:r>
      <w:r>
        <w:rPr>
          <w:rFonts w:ascii="Calibri" w:hAnsi="Calibri"/>
          <w:b/>
          <w:bCs/>
          <w:i/>
          <w:sz w:val="16"/>
        </w:rPr>
        <w:t>o</w:t>
      </w:r>
      <w:r w:rsidRPr="0094415C">
        <w:rPr>
          <w:rFonts w:ascii="Calibri" w:hAnsi="Calibri"/>
          <w:b/>
          <w:bCs/>
          <w:i/>
          <w:sz w:val="16"/>
        </w:rPr>
        <w:t>, para</w:t>
      </w:r>
      <w:r>
        <w:rPr>
          <w:rFonts w:ascii="Calibri" w:hAnsi="Calibri"/>
          <w:b/>
          <w:bCs/>
          <w:i/>
          <w:sz w:val="16"/>
        </w:rPr>
        <w:t>gens</w:t>
      </w:r>
      <w:r w:rsidRPr="0094415C">
        <w:rPr>
          <w:rFonts w:ascii="Calibri" w:hAnsi="Calibri"/>
          <w:b/>
          <w:bCs/>
          <w:i/>
          <w:sz w:val="16"/>
        </w:rPr>
        <w:t xml:space="preserve"> cardíacas, um</w:t>
      </w:r>
      <w:r>
        <w:rPr>
          <w:rFonts w:ascii="Calibri" w:hAnsi="Calibri"/>
          <w:b/>
          <w:bCs/>
          <w:i/>
          <w:sz w:val="16"/>
        </w:rPr>
        <w:t xml:space="preserve"> vaivém a </w:t>
      </w:r>
      <w:r w:rsidRPr="0094415C">
        <w:rPr>
          <w:rFonts w:ascii="Calibri" w:hAnsi="Calibri"/>
          <w:b/>
          <w:bCs/>
          <w:i/>
          <w:sz w:val="16"/>
        </w:rPr>
        <w:t xml:space="preserve"> entra</w:t>
      </w:r>
      <w:r>
        <w:rPr>
          <w:rFonts w:ascii="Calibri" w:hAnsi="Calibri"/>
          <w:b/>
          <w:bCs/>
          <w:i/>
          <w:sz w:val="16"/>
        </w:rPr>
        <w:t>r</w:t>
      </w:r>
      <w:r w:rsidRPr="0094415C">
        <w:rPr>
          <w:rFonts w:ascii="Calibri" w:hAnsi="Calibri"/>
          <w:b/>
          <w:bCs/>
          <w:i/>
          <w:sz w:val="16"/>
        </w:rPr>
        <w:t xml:space="preserve"> e sai</w:t>
      </w:r>
      <w:r>
        <w:rPr>
          <w:rFonts w:ascii="Calibri" w:hAnsi="Calibri"/>
          <w:b/>
          <w:bCs/>
          <w:i/>
          <w:sz w:val="16"/>
        </w:rPr>
        <w:t>r</w:t>
      </w:r>
      <w:r w:rsidRPr="0094415C">
        <w:rPr>
          <w:rFonts w:ascii="Calibri" w:hAnsi="Calibri"/>
          <w:b/>
          <w:bCs/>
          <w:i/>
          <w:sz w:val="16"/>
        </w:rPr>
        <w:t xml:space="preserve"> de hospitais, dependência, fragilidade. Escrever é um</w:t>
      </w:r>
      <w:r>
        <w:rPr>
          <w:rFonts w:ascii="Calibri" w:hAnsi="Calibri"/>
          <w:b/>
          <w:bCs/>
          <w:i/>
          <w:sz w:val="16"/>
        </w:rPr>
        <w:t>a forma</w:t>
      </w:r>
      <w:r w:rsidRPr="0094415C">
        <w:rPr>
          <w:rFonts w:ascii="Calibri" w:hAnsi="Calibri"/>
          <w:b/>
          <w:bCs/>
          <w:i/>
          <w:sz w:val="16"/>
        </w:rPr>
        <w:t xml:space="preserve"> de continuar de pé. Depois, tem o testemunho histórico. O autor sabe bem que seus textos </w:t>
      </w:r>
      <w:r>
        <w:rPr>
          <w:rFonts w:ascii="Calibri" w:hAnsi="Calibri"/>
          <w:b/>
          <w:bCs/>
          <w:i/>
          <w:sz w:val="16"/>
        </w:rPr>
        <w:t>se tornam</w:t>
      </w:r>
      <w:r w:rsidRPr="0094415C">
        <w:rPr>
          <w:rFonts w:ascii="Calibri" w:hAnsi="Calibri"/>
          <w:b/>
          <w:bCs/>
          <w:i/>
          <w:sz w:val="16"/>
        </w:rPr>
        <w:t xml:space="preserve"> retratos de uma época: crise das democracias, populismo, hipocrisia política, serviços públicos </w:t>
      </w:r>
      <w:r>
        <w:rPr>
          <w:rFonts w:ascii="Calibri" w:hAnsi="Calibri"/>
          <w:b/>
          <w:bCs/>
          <w:i/>
          <w:sz w:val="16"/>
        </w:rPr>
        <w:t>esbanjados e acabados</w:t>
      </w:r>
      <w:r w:rsidRPr="0094415C">
        <w:rPr>
          <w:rFonts w:ascii="Calibri" w:hAnsi="Calibri"/>
          <w:b/>
          <w:bCs/>
          <w:i/>
          <w:sz w:val="16"/>
        </w:rPr>
        <w:t xml:space="preserve">, burocracia sufocante, cultura </w:t>
      </w:r>
      <w:r>
        <w:rPr>
          <w:rFonts w:ascii="Calibri" w:hAnsi="Calibri"/>
          <w:b/>
          <w:bCs/>
          <w:i/>
          <w:sz w:val="16"/>
        </w:rPr>
        <w:t>ao abandono</w:t>
      </w:r>
      <w:r w:rsidRPr="0094415C">
        <w:rPr>
          <w:rFonts w:ascii="Calibri" w:hAnsi="Calibri"/>
          <w:b/>
          <w:bCs/>
          <w:i/>
          <w:sz w:val="16"/>
        </w:rPr>
        <w:t>. Por fim, resistência ética. A escrita aqui não aceita calar. Muitas vezes vem com sarcasmo, às vezes amarga, mas nunca larga a ética. Neutralidade? Não tem. O autor escolhe um lado e faz questão de mostrar.</w:t>
      </w:r>
      <w:r>
        <w:rPr>
          <w:rStyle w:val="FootnoteReference"/>
        </w:rPr>
        <w:pict w14:anchorId="3954FD95">
          <v:rect id="_x0000_i1052" style="width:0;height:1.5pt" o:hrstd="t" o:hr="t" fillcolor="#a0a0a0" stroked="f"/>
        </w:pict>
      </w:r>
    </w:p>
    <w:p w14:paraId="0CA75D70" w14:textId="77777777" w:rsidR="005F0D69" w:rsidRPr="001E240F" w:rsidRDefault="005F0D69" w:rsidP="005F0D69">
      <w:pPr>
        <w:ind w:left="284" w:firstLine="284"/>
        <w:rPr>
          <w:rStyle w:val="FootnoteReference"/>
        </w:rPr>
      </w:pPr>
      <w:r w:rsidRPr="00161689">
        <w:rPr>
          <w:rFonts w:ascii="Calibri" w:hAnsi="Calibri"/>
          <w:b/>
          <w:bCs/>
          <w:i/>
          <w:sz w:val="16"/>
        </w:rPr>
        <w:t xml:space="preserve">O livro fala com um desencanto bem claro, daquele tipo que </w:t>
      </w:r>
      <w:r>
        <w:rPr>
          <w:rFonts w:ascii="Calibri" w:hAnsi="Calibri"/>
          <w:b/>
          <w:bCs/>
          <w:i/>
          <w:sz w:val="16"/>
        </w:rPr>
        <w:t>se</w:t>
      </w:r>
      <w:r w:rsidRPr="00161689">
        <w:rPr>
          <w:rFonts w:ascii="Calibri" w:hAnsi="Calibri"/>
          <w:b/>
          <w:bCs/>
          <w:i/>
          <w:sz w:val="16"/>
        </w:rPr>
        <w:t xml:space="preserve"> encontra em Eça de Queirós (que, aliás, aparece citado), mas também lembra George Orwell, Umberto Eco e vários cronistas cívicos do século XX. Esse tom mistura </w:t>
      </w:r>
      <w:r>
        <w:rPr>
          <w:rFonts w:ascii="Calibri" w:hAnsi="Calibri"/>
          <w:b/>
          <w:bCs/>
          <w:i/>
          <w:sz w:val="16"/>
        </w:rPr>
        <w:t xml:space="preserve">uma </w:t>
      </w:r>
      <w:r w:rsidRPr="00161689">
        <w:rPr>
          <w:rFonts w:ascii="Calibri" w:hAnsi="Calibri"/>
          <w:b/>
          <w:bCs/>
          <w:i/>
          <w:sz w:val="16"/>
        </w:rPr>
        <w:t>ironia afiada, sarcasmo político, uma melancolia meio crua, e até uma nostalgia — mas sem aquela coisa piegas ou sentimental. Não tem espaço p</w:t>
      </w:r>
      <w:r>
        <w:rPr>
          <w:rFonts w:ascii="Calibri" w:hAnsi="Calibri"/>
          <w:b/>
          <w:bCs/>
          <w:i/>
          <w:sz w:val="16"/>
        </w:rPr>
        <w:t>a</w:t>
      </w:r>
      <w:r w:rsidRPr="00161689">
        <w:rPr>
          <w:rFonts w:ascii="Calibri" w:hAnsi="Calibri"/>
          <w:b/>
          <w:bCs/>
          <w:i/>
          <w:sz w:val="16"/>
        </w:rPr>
        <w:t xml:space="preserve">ra pensamento positivo forçado. O autor </w:t>
      </w:r>
      <w:r>
        <w:rPr>
          <w:rFonts w:ascii="Calibri" w:hAnsi="Calibri"/>
          <w:b/>
          <w:bCs/>
          <w:i/>
          <w:sz w:val="16"/>
        </w:rPr>
        <w:t>enfrenta</w:t>
      </w:r>
      <w:r w:rsidRPr="00161689">
        <w:rPr>
          <w:rFonts w:ascii="Calibri" w:hAnsi="Calibri"/>
          <w:b/>
          <w:bCs/>
          <w:i/>
          <w:sz w:val="16"/>
        </w:rPr>
        <w:t xml:space="preserve"> a hipocrisia social, principalmente em datas como Natal, Ano Novo ou nos discursos políticos vazios. </w:t>
      </w:r>
      <w:r>
        <w:rPr>
          <w:rFonts w:ascii="Calibri" w:hAnsi="Calibri"/>
          <w:b/>
          <w:bCs/>
          <w:i/>
          <w:sz w:val="16"/>
        </w:rPr>
        <w:t>Patenteia</w:t>
      </w:r>
      <w:r w:rsidRPr="00161689">
        <w:rPr>
          <w:rFonts w:ascii="Calibri" w:hAnsi="Calibri"/>
          <w:b/>
          <w:bCs/>
          <w:i/>
          <w:sz w:val="16"/>
        </w:rPr>
        <w:t xml:space="preserve"> como esses rituais coletivos soam falsos, e faz questão de colocar isso em contraste com a dor individual, que é muito mais autêntica.</w:t>
      </w:r>
      <w:r>
        <w:rPr>
          <w:rStyle w:val="FootnoteReference"/>
        </w:rPr>
        <w:pict w14:anchorId="0C9105F6">
          <v:rect id="_x0000_i1053" style="width:0;height:1.5pt" o:hrstd="t" o:hr="t" fillcolor="#a0a0a0" stroked="f"/>
        </w:pict>
      </w:r>
    </w:p>
    <w:p w14:paraId="0BB83728" w14:textId="77777777" w:rsidR="005F0D69" w:rsidRPr="001E240F" w:rsidRDefault="005F0D69" w:rsidP="005F0D69">
      <w:pPr>
        <w:ind w:left="360"/>
        <w:rPr>
          <w:rStyle w:val="FootnoteReference"/>
        </w:rPr>
      </w:pPr>
      <w:r w:rsidRPr="003D09C1">
        <w:rPr>
          <w:rFonts w:ascii="Calibri" w:hAnsi="Calibri"/>
          <w:b/>
          <w:bCs/>
          <w:i/>
          <w:sz w:val="16"/>
        </w:rPr>
        <w:t>A estrutura fragmentada e numerada dessas crónicas — 564, 565, 566 — passa logo a sensação de que a vida do autor é um projeto em andamento. Tem esse clima de arquivo pessoal, de quem vai guardando e empilhando momentos, sem nunca fechar o livro de vez. Cada crónica se sustenta sozinha, claro, mas acabam conversando entre si. Volta e meia aparecem os mesmos fantasmas: morte, memória, injustiça, burocracia, decadência da civilização, e os Açores, que são um mundo à parte, um microcosmo político.</w:t>
      </w:r>
      <w:r>
        <w:rPr>
          <w:rStyle w:val="FootnoteReference"/>
        </w:rPr>
        <w:pict w14:anchorId="329E7720">
          <v:rect id="_x0000_i1054" style="width:0;height:1.5pt" o:hrstd="t" o:hr="t" fillcolor="#a0a0a0" stroked="f"/>
        </w:pict>
      </w:r>
    </w:p>
    <w:p w14:paraId="3528A61D" w14:textId="77777777" w:rsidR="005F0D69" w:rsidRPr="003D09C1" w:rsidRDefault="005F0D69" w:rsidP="005F0D69">
      <w:pPr>
        <w:ind w:left="284" w:firstLine="284"/>
        <w:rPr>
          <w:rStyle w:val="FootnoteReference"/>
          <w:i w:val="0"/>
          <w:iCs/>
          <w:szCs w:val="16"/>
        </w:rPr>
      </w:pPr>
      <w:r w:rsidRPr="003D09C1">
        <w:rPr>
          <w:rFonts w:ascii="Calibri" w:hAnsi="Calibri"/>
          <w:b/>
          <w:bCs/>
          <w:i/>
          <w:iCs/>
          <w:sz w:val="16"/>
          <w:szCs w:val="16"/>
        </w:rPr>
        <w:t>O livro é íntimo, mas não para aí. Ele mergulha fundo na política, daquele jeito mais clássico mesmo: enfrenta o populismo, escancara como usam o crime para manipular, não poupa críticas à mídia sensacionalista, defende a cultura como algo essencial e mostra o quanto a democracia formal dececiona. O autor se coloca como um intelectual público — mesmo sendo meio à margem, falando da periferia dos Açores e da velhice. São dois lugares que, no fim das contas, ainda carregam certo peso de exclusão.</w:t>
      </w:r>
    </w:p>
    <w:p w14:paraId="7379834B" w14:textId="77777777" w:rsidR="005F0D69" w:rsidRPr="001E240F" w:rsidRDefault="005F0D69" w:rsidP="005F0D69">
      <w:pPr>
        <w:ind w:left="284" w:firstLine="284"/>
        <w:rPr>
          <w:rStyle w:val="FootnoteReference"/>
        </w:rPr>
      </w:pPr>
      <w:r>
        <w:rPr>
          <w:rStyle w:val="FootnoteReference"/>
        </w:rPr>
        <w:pict w14:anchorId="044CC86A">
          <v:rect id="_x0000_i1055" style="width:0;height:1.5pt" o:hrstd="t" o:hr="t" fillcolor="#a0a0a0" stroked="f"/>
        </w:pict>
      </w:r>
    </w:p>
    <w:p w14:paraId="17AECF82" w14:textId="77777777" w:rsidR="005F0D69" w:rsidRPr="001E240F" w:rsidRDefault="005F0D69" w:rsidP="005F0D69">
      <w:pPr>
        <w:ind w:left="284" w:firstLine="284"/>
        <w:rPr>
          <w:rStyle w:val="FootnoteReference"/>
        </w:rPr>
      </w:pPr>
      <w:r w:rsidRPr="00B33A58">
        <w:rPr>
          <w:rFonts w:ascii="Calibri" w:hAnsi="Calibri"/>
          <w:b/>
          <w:bCs/>
          <w:i/>
          <w:sz w:val="16"/>
        </w:rPr>
        <w:t xml:space="preserve">A presença de Helena Chrystello não fica só na lembrança. Ela é o alicerce ético e cultural deste livro. Quando a análise entra na novela inédita </w:t>
      </w:r>
      <w:r w:rsidRPr="00B33A58">
        <w:rPr>
          <w:rFonts w:ascii="Calibri" w:hAnsi="Calibri"/>
          <w:b/>
          <w:bCs/>
          <w:iCs/>
          <w:sz w:val="16"/>
          <w:u w:val="single"/>
        </w:rPr>
        <w:t>O Silêncio da Paixão,</w:t>
      </w:r>
      <w:r w:rsidRPr="00B33A58">
        <w:rPr>
          <w:rFonts w:ascii="Calibri" w:hAnsi="Calibri"/>
          <w:b/>
          <w:bCs/>
          <w:i/>
          <w:sz w:val="16"/>
        </w:rPr>
        <w:t xml:space="preserve"> o livro ganha ainda mais força: </w:t>
      </w:r>
      <w:r>
        <w:rPr>
          <w:rFonts w:ascii="Calibri" w:hAnsi="Calibri"/>
          <w:b/>
          <w:bCs/>
          <w:i/>
          <w:sz w:val="16"/>
        </w:rPr>
        <w:t>passa a ser</w:t>
      </w:r>
      <w:r w:rsidRPr="00B33A58">
        <w:rPr>
          <w:rFonts w:ascii="Calibri" w:hAnsi="Calibri"/>
          <w:b/>
          <w:bCs/>
          <w:i/>
          <w:sz w:val="16"/>
        </w:rPr>
        <w:t xml:space="preserve"> um gesto de reparação literária, transforma o luto em herança, faz surgir um diálogo vivo entre duas obras, duas vozes. Nesse momento, o livro deixa de ser só um diário e se afirma como um ato de justiça simbólica.</w:t>
      </w:r>
      <w:r w:rsidRPr="001E240F">
        <w:rPr>
          <w:rStyle w:val="FootnoteReference"/>
        </w:rPr>
        <w:t>.</w:t>
      </w:r>
    </w:p>
    <w:p w14:paraId="285B5A10" w14:textId="77777777" w:rsidR="005F0D69" w:rsidRPr="001E240F" w:rsidRDefault="005F0D69" w:rsidP="005F0D69">
      <w:pPr>
        <w:ind w:left="284" w:firstLine="284"/>
        <w:rPr>
          <w:rStyle w:val="FootnoteReference"/>
          <w:b/>
          <w:bCs/>
        </w:rPr>
      </w:pPr>
      <w:r>
        <w:rPr>
          <w:rStyle w:val="FootnoteReference"/>
          <w:b/>
          <w:bCs/>
        </w:rPr>
        <w:pict w14:anchorId="10B1506B">
          <v:rect id="_x0000_i1056" style="width:0;height:1.5pt" o:hrstd="t" o:hr="t" fillcolor="#a0a0a0" stroked="f"/>
        </w:pict>
      </w:r>
    </w:p>
    <w:p w14:paraId="539AD541" w14:textId="77777777" w:rsidR="005F0D69" w:rsidRPr="00B33A58" w:rsidRDefault="005F0D69" w:rsidP="005F0D69">
      <w:pPr>
        <w:ind w:left="284" w:firstLine="284"/>
        <w:rPr>
          <w:rStyle w:val="FootnoteReference"/>
          <w:i w:val="0"/>
          <w:iCs/>
          <w:szCs w:val="16"/>
        </w:rPr>
      </w:pPr>
      <w:r w:rsidRPr="00B33A58">
        <w:rPr>
          <w:rFonts w:ascii="Calibri" w:hAnsi="Calibri"/>
          <w:b/>
          <w:bCs/>
          <w:i/>
          <w:iCs/>
          <w:sz w:val="16"/>
          <w:szCs w:val="16"/>
        </w:rPr>
        <w:t>O livro impressiona logo pela autenticidade — não faz concessões, não tenta suavizar o que precisa dizer. A coragem do autor fica evidente em cada página; ele não foge de temas difíceis, não procura agradar. Tudo aqui é carregado de densidade, com uma ética que nunca vacila e um olhar atento aos detalhes do tempo em que vive. Além do peso literário, o texto guarda um valor documental importante, como se fosse uma memória viva de uma época. Mas não espere conforto. Não é um livro que vai tentar agradar ou trazer soluções fáceis. Longe disso. Não tem aquele tom conciliador, nem otimismo forçado, muito menos se encaixa como “literatura de entretenimento”. É uma obra de despedida, escrita quando o autor já sent</w:t>
      </w:r>
      <w:r>
        <w:rPr>
          <w:rFonts w:ascii="Calibri" w:hAnsi="Calibri"/>
          <w:b/>
          <w:bCs/>
          <w:i/>
          <w:iCs/>
          <w:sz w:val="16"/>
          <w:szCs w:val="16"/>
        </w:rPr>
        <w:t>e</w:t>
      </w:r>
      <w:r w:rsidRPr="00B33A58">
        <w:rPr>
          <w:rFonts w:ascii="Calibri" w:hAnsi="Calibri"/>
          <w:b/>
          <w:bCs/>
          <w:i/>
          <w:iCs/>
          <w:sz w:val="16"/>
          <w:szCs w:val="16"/>
        </w:rPr>
        <w:t xml:space="preserve"> o fim do ciclo se aproximando. O foco não está no leitor de agora, mas naquele que vai chegar, no futuro — como se fosse uma conversa atravessando o tempo.</w:t>
      </w:r>
    </w:p>
    <w:p w14:paraId="75F3F65A" w14:textId="77777777" w:rsidR="005F0D69" w:rsidRPr="001E240F" w:rsidRDefault="005F0D69" w:rsidP="005F0D69">
      <w:pPr>
        <w:ind w:left="284" w:firstLine="284"/>
        <w:rPr>
          <w:rStyle w:val="FootnoteReference"/>
        </w:rPr>
      </w:pPr>
      <w:r>
        <w:rPr>
          <w:rStyle w:val="FootnoteReference"/>
        </w:rPr>
        <w:pict w14:anchorId="7D66DE67">
          <v:rect id="_x0000_i1057" style="width:0;height:1.5pt" o:hrstd="t" o:hr="t" fillcolor="#a0a0a0" stroked="f"/>
        </w:pict>
      </w:r>
    </w:p>
    <w:p w14:paraId="2B3ECF6F" w14:textId="77777777" w:rsidR="005F0D69" w:rsidRDefault="005F0D69" w:rsidP="005F0D69">
      <w:pPr>
        <w:ind w:left="284"/>
        <w:rPr>
          <w:b/>
          <w:bCs/>
          <w:i/>
          <w:iCs/>
          <w:sz w:val="16"/>
          <w:szCs w:val="16"/>
        </w:rPr>
      </w:pPr>
      <w:r>
        <w:tab/>
      </w:r>
      <w:r w:rsidRPr="008E1D2F">
        <w:rPr>
          <w:rFonts w:ascii="Calibri" w:hAnsi="Calibri"/>
          <w:b/>
          <w:bCs/>
          <w:i/>
          <w:iCs/>
          <w:sz w:val="16"/>
          <w:szCs w:val="16"/>
        </w:rPr>
        <w:t>ChrónicAçores, vol. 9 é um livro de resistência existencial. Quem escreveu perdeu quase tudo — a companheira, a saúde, as ilusões — mas agarrou com firmeza as palavras. Não tenta consolar ninguém. Também não quer ensinar. Só quer dizer a verdade, mesmo quando dói.</w:t>
      </w:r>
    </w:p>
    <w:p w14:paraId="23A8AF2A" w14:textId="77777777" w:rsidR="005F0D69" w:rsidRPr="008E1D2F" w:rsidRDefault="005F0D69" w:rsidP="005F0D69">
      <w:pPr>
        <w:ind w:left="284"/>
        <w:rPr>
          <w:rFonts w:ascii="Calibri" w:hAnsi="Calibri"/>
          <w:b/>
          <w:bCs/>
          <w:i/>
          <w:iCs/>
          <w:sz w:val="16"/>
          <w:szCs w:val="16"/>
        </w:rPr>
      </w:pPr>
      <w:r>
        <w:rPr>
          <w:rStyle w:val="FootnoteReference"/>
        </w:rPr>
        <w:pict w14:anchorId="6E6F04D5">
          <v:rect id="_x0000_i1059" style="width:0;height:1.5pt" o:hrstd="t" o:hr="t" fillcolor="#a0a0a0" stroked="f"/>
        </w:pict>
      </w:r>
    </w:p>
    <w:p w14:paraId="162B6958" w14:textId="40EC13DB" w:rsidR="0043230F" w:rsidRPr="005F0D69" w:rsidRDefault="005F0D69" w:rsidP="005F0D69">
      <w:pPr>
        <w:ind w:left="-284" w:firstLine="284"/>
        <w:jc w:val="center"/>
        <w:rPr>
          <w:rFonts w:eastAsia="Batang"/>
          <w:b/>
          <w:color w:val="EE0000"/>
          <w:sz w:val="28"/>
          <w:szCs w:val="40"/>
        </w:rPr>
      </w:pPr>
      <w:r w:rsidRPr="0089491A">
        <w:rPr>
          <w:noProof/>
        </w:rPr>
        <w:drawing>
          <wp:inline distT="0" distB="0" distL="0" distR="0" wp14:anchorId="2A612496" wp14:editId="6F2EF612">
            <wp:extent cx="1761756" cy="979959"/>
            <wp:effectExtent l="0" t="0" r="0" b="0"/>
            <wp:docPr id="1784716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9250" cy="995252"/>
                    </a:xfrm>
                    <a:prstGeom prst="rect">
                      <a:avLst/>
                    </a:prstGeom>
                    <a:noFill/>
                    <a:ln>
                      <a:noFill/>
                    </a:ln>
                  </pic:spPr>
                </pic:pic>
              </a:graphicData>
            </a:graphic>
          </wp:inline>
        </w:drawing>
      </w:r>
      <w:r w:rsidRPr="0089491A">
        <w:rPr>
          <w:rFonts w:eastAsia="Batang"/>
          <w:b/>
          <w:noProof/>
          <w:color w:val="EE0000"/>
          <w:sz w:val="28"/>
          <w:szCs w:val="40"/>
        </w:rPr>
        <w:drawing>
          <wp:inline distT="0" distB="0" distL="0" distR="0" wp14:anchorId="0B2445E3" wp14:editId="0999D4A2">
            <wp:extent cx="1704975" cy="992221"/>
            <wp:effectExtent l="0" t="0" r="0" b="0"/>
            <wp:docPr id="1315053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2857" cy="1002628"/>
                    </a:xfrm>
                    <a:prstGeom prst="rect">
                      <a:avLst/>
                    </a:prstGeom>
                    <a:noFill/>
                    <a:ln>
                      <a:noFill/>
                    </a:ln>
                  </pic:spPr>
                </pic:pic>
              </a:graphicData>
            </a:graphic>
          </wp:inline>
        </w:drawing>
      </w:r>
      <w:r w:rsidRPr="0089491A">
        <w:t xml:space="preserve"> </w:t>
      </w:r>
      <w:r w:rsidRPr="0089491A">
        <w:rPr>
          <w:noProof/>
        </w:rPr>
        <w:drawing>
          <wp:inline distT="0" distB="0" distL="0" distR="0" wp14:anchorId="6D7F030C" wp14:editId="3CA4C60A">
            <wp:extent cx="1771650" cy="993441"/>
            <wp:effectExtent l="0" t="0" r="0" b="0"/>
            <wp:docPr id="17937475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4484" cy="1006245"/>
                    </a:xfrm>
                    <a:prstGeom prst="rect">
                      <a:avLst/>
                    </a:prstGeom>
                    <a:noFill/>
                    <a:ln>
                      <a:noFill/>
                    </a:ln>
                  </pic:spPr>
                </pic:pic>
              </a:graphicData>
            </a:graphic>
          </wp:inline>
        </w:drawing>
      </w:r>
    </w:p>
    <w:sectPr w:rsidR="0043230F" w:rsidRPr="005F0D69" w:rsidSect="00A551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2257"/>
    <w:multiLevelType w:val="multilevel"/>
    <w:tmpl w:val="51C0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74EE6"/>
    <w:multiLevelType w:val="multilevel"/>
    <w:tmpl w:val="1FD6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368EE"/>
    <w:multiLevelType w:val="multilevel"/>
    <w:tmpl w:val="6056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1589D"/>
    <w:multiLevelType w:val="multilevel"/>
    <w:tmpl w:val="7DA6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43279"/>
    <w:multiLevelType w:val="multilevel"/>
    <w:tmpl w:val="1D74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8C13DE"/>
    <w:multiLevelType w:val="multilevel"/>
    <w:tmpl w:val="A00A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680775"/>
    <w:multiLevelType w:val="multilevel"/>
    <w:tmpl w:val="9FEE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6165B7"/>
    <w:multiLevelType w:val="multilevel"/>
    <w:tmpl w:val="C662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FC125A"/>
    <w:multiLevelType w:val="multilevel"/>
    <w:tmpl w:val="657E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245DEF"/>
    <w:multiLevelType w:val="multilevel"/>
    <w:tmpl w:val="CEB0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B0219D"/>
    <w:multiLevelType w:val="multilevel"/>
    <w:tmpl w:val="97C8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7532313">
    <w:abstractNumId w:val="4"/>
  </w:num>
  <w:num w:numId="2" w16cid:durableId="1840195219">
    <w:abstractNumId w:val="1"/>
  </w:num>
  <w:num w:numId="3" w16cid:durableId="1647852016">
    <w:abstractNumId w:val="10"/>
  </w:num>
  <w:num w:numId="4" w16cid:durableId="1180511557">
    <w:abstractNumId w:val="7"/>
  </w:num>
  <w:num w:numId="5" w16cid:durableId="2072847231">
    <w:abstractNumId w:val="8"/>
  </w:num>
  <w:num w:numId="6" w16cid:durableId="1172256365">
    <w:abstractNumId w:val="2"/>
  </w:num>
  <w:num w:numId="7" w16cid:durableId="1613629636">
    <w:abstractNumId w:val="5"/>
  </w:num>
  <w:num w:numId="8" w16cid:durableId="152454660">
    <w:abstractNumId w:val="9"/>
  </w:num>
  <w:num w:numId="9" w16cid:durableId="165823065">
    <w:abstractNumId w:val="6"/>
  </w:num>
  <w:num w:numId="10" w16cid:durableId="120462854">
    <w:abstractNumId w:val="0"/>
  </w:num>
  <w:num w:numId="11" w16cid:durableId="899829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A20"/>
    <w:rsid w:val="000A4E64"/>
    <w:rsid w:val="000B2169"/>
    <w:rsid w:val="00120065"/>
    <w:rsid w:val="00161689"/>
    <w:rsid w:val="001E2A20"/>
    <w:rsid w:val="002333FA"/>
    <w:rsid w:val="00237DA4"/>
    <w:rsid w:val="00262EBC"/>
    <w:rsid w:val="002A511C"/>
    <w:rsid w:val="002F2576"/>
    <w:rsid w:val="003246BA"/>
    <w:rsid w:val="00331A99"/>
    <w:rsid w:val="00352F8D"/>
    <w:rsid w:val="003C0246"/>
    <w:rsid w:val="003D09C1"/>
    <w:rsid w:val="003E09C8"/>
    <w:rsid w:val="0043230F"/>
    <w:rsid w:val="0045013D"/>
    <w:rsid w:val="00532492"/>
    <w:rsid w:val="00545D28"/>
    <w:rsid w:val="00560534"/>
    <w:rsid w:val="005F0D69"/>
    <w:rsid w:val="007362DA"/>
    <w:rsid w:val="007E5845"/>
    <w:rsid w:val="008018DB"/>
    <w:rsid w:val="00845A6E"/>
    <w:rsid w:val="00854AB2"/>
    <w:rsid w:val="00883E27"/>
    <w:rsid w:val="008E1D2F"/>
    <w:rsid w:val="0094415C"/>
    <w:rsid w:val="009723CF"/>
    <w:rsid w:val="009A0455"/>
    <w:rsid w:val="009F5A37"/>
    <w:rsid w:val="00A55156"/>
    <w:rsid w:val="00A617D5"/>
    <w:rsid w:val="00B33A58"/>
    <w:rsid w:val="00B70A12"/>
    <w:rsid w:val="00BB5C38"/>
    <w:rsid w:val="00C17AB5"/>
    <w:rsid w:val="00C45672"/>
    <w:rsid w:val="00C774B1"/>
    <w:rsid w:val="00CE0E8F"/>
    <w:rsid w:val="00D44E69"/>
    <w:rsid w:val="00DA3046"/>
    <w:rsid w:val="00DC08AB"/>
    <w:rsid w:val="00E244FE"/>
    <w:rsid w:val="00E70BB8"/>
    <w:rsid w:val="00E727E4"/>
    <w:rsid w:val="00E74EEB"/>
    <w:rsid w:val="00F04929"/>
    <w:rsid w:val="00F107F0"/>
    <w:rsid w:val="00F1534F"/>
    <w:rsid w:val="00F340B5"/>
    <w:rsid w:val="00F850EB"/>
    <w:rsid w:val="00F926BC"/>
    <w:rsid w:val="00F92ECB"/>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AE8E3"/>
  <w15:chartTrackingRefBased/>
  <w15:docId w15:val="{C33DC0A8-5163-4E5F-B674-F0FB4E74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A20"/>
    <w:rPr>
      <w:rFonts w:ascii="Franklin Gothic Book" w:hAnsi="Franklin Gothic Book" w:cs="Calibri"/>
      <w:sz w:val="18"/>
      <w:szCs w:val="18"/>
      <w14:ligatures w14:val="none"/>
    </w:rPr>
  </w:style>
  <w:style w:type="paragraph" w:styleId="Heading1">
    <w:name w:val="heading 1"/>
    <w:basedOn w:val="Normal"/>
    <w:next w:val="Normal"/>
    <w:link w:val="Heading1Char"/>
    <w:uiPriority w:val="9"/>
    <w:qFormat/>
    <w:rsid w:val="001E2A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2A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A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A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A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A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A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A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A20"/>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semiHidden/>
    <w:rsid w:val="001E2A20"/>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semiHidden/>
    <w:rsid w:val="001E2A20"/>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1E2A20"/>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1E2A20"/>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1E2A20"/>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1E2A20"/>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1E2A20"/>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1E2A20"/>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1E2A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A20"/>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1E2A2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A20"/>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1E2A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2A20"/>
    <w:rPr>
      <w:i/>
      <w:iCs/>
      <w:color w:val="404040" w:themeColor="text1" w:themeTint="BF"/>
      <w:lang w:val="en-AU"/>
    </w:rPr>
  </w:style>
  <w:style w:type="paragraph" w:styleId="ListParagraph">
    <w:name w:val="List Paragraph"/>
    <w:basedOn w:val="Normal"/>
    <w:uiPriority w:val="34"/>
    <w:qFormat/>
    <w:rsid w:val="001E2A20"/>
    <w:pPr>
      <w:ind w:left="720"/>
      <w:contextualSpacing/>
    </w:pPr>
  </w:style>
  <w:style w:type="character" w:styleId="IntenseEmphasis">
    <w:name w:val="Intense Emphasis"/>
    <w:basedOn w:val="DefaultParagraphFont"/>
    <w:uiPriority w:val="21"/>
    <w:qFormat/>
    <w:rsid w:val="001E2A20"/>
    <w:rPr>
      <w:i/>
      <w:iCs/>
      <w:color w:val="0F4761" w:themeColor="accent1" w:themeShade="BF"/>
    </w:rPr>
  </w:style>
  <w:style w:type="paragraph" w:styleId="IntenseQuote">
    <w:name w:val="Intense Quote"/>
    <w:basedOn w:val="Normal"/>
    <w:next w:val="Normal"/>
    <w:link w:val="IntenseQuoteChar"/>
    <w:uiPriority w:val="30"/>
    <w:qFormat/>
    <w:rsid w:val="001E2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A20"/>
    <w:rPr>
      <w:i/>
      <w:iCs/>
      <w:color w:val="0F4761" w:themeColor="accent1" w:themeShade="BF"/>
      <w:lang w:val="en-AU"/>
    </w:rPr>
  </w:style>
  <w:style w:type="character" w:styleId="IntenseReference">
    <w:name w:val="Intense Reference"/>
    <w:basedOn w:val="DefaultParagraphFont"/>
    <w:uiPriority w:val="32"/>
    <w:qFormat/>
    <w:rsid w:val="001E2A20"/>
    <w:rPr>
      <w:b/>
      <w:bCs/>
      <w:smallCaps/>
      <w:color w:val="0F4761" w:themeColor="accent1" w:themeShade="BF"/>
      <w:spacing w:val="5"/>
    </w:rPr>
  </w:style>
  <w:style w:type="character" w:styleId="FootnoteReference">
    <w:name w:val="footnote reference"/>
    <w:uiPriority w:val="99"/>
    <w:qFormat/>
    <w:rsid w:val="001E2A20"/>
    <w:rPr>
      <w:rFonts w:ascii="Calibri" w:hAnsi="Calibri"/>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1709</TotalTime>
  <Pages>1</Pages>
  <Words>1083</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Chrystello</dc:creator>
  <cp:keywords/>
  <dc:description/>
  <cp:lastModifiedBy>Chrys</cp:lastModifiedBy>
  <cp:revision>2</cp:revision>
  <dcterms:created xsi:type="dcterms:W3CDTF">2025-12-31T20:17:00Z</dcterms:created>
  <dcterms:modified xsi:type="dcterms:W3CDTF">2026-01-02T20:54:00Z</dcterms:modified>
</cp:coreProperties>
</file>