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3F88" w14:textId="77777777" w:rsidR="00733697" w:rsidRPr="00A06370" w:rsidRDefault="00733697" w:rsidP="00733697">
      <w:pPr>
        <w:pStyle w:val="Heading5"/>
      </w:pPr>
      <w:r w:rsidRPr="00A06370">
        <w:t>551 a maldição da mudança da hora outº 30, 24</w:t>
      </w:r>
    </w:p>
    <w:p w14:paraId="2CFFF0EA" w14:textId="77777777" w:rsidR="00733697" w:rsidRPr="00A06370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Fonts w:ascii="Traveling _Typewriter" w:hAnsi="Traveling _Typewriter" w:cs="Calibri Light"/>
          <w:i/>
          <w:iCs/>
          <w:szCs w:val="20"/>
        </w:rPr>
      </w:pP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Tudo começou em 1916, durante a I Guerra Mundial, quando obrigaram à mudança da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hora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com o intuito de poupar carv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ã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o (combust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í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vel) usado na iluminação. Os primeiros países foram a Alemanha e a Áustria, mas rapidamente outros, nomeadamente Portugal, fizeram o mesmo. Nessa época houve uma poupança de energia. Em língua inglesa a hora de verão é conhecida como “</w:t>
      </w:r>
      <w:proofErr w:type="spellStart"/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Daylight</w:t>
      </w:r>
      <w:proofErr w:type="spellEnd"/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</w:t>
      </w:r>
      <w:proofErr w:type="spellStart"/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Savings</w:t>
      </w:r>
      <w:proofErr w:type="spellEnd"/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Time”, algo que se pode traduzir como “tempo de poupança de luz do dia”.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</w:t>
      </w:r>
    </w:p>
    <w:p w14:paraId="71CA16CC" w14:textId="77777777" w:rsidR="00733697" w:rsidRPr="00A06370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Style w:val="FootnoteReference"/>
          <w:rFonts w:ascii="Traveling _Typewriter" w:hAnsi="Traveling _Typewriter" w:cs="Calibri Light"/>
          <w:i/>
          <w:iCs/>
          <w:szCs w:val="20"/>
        </w:rPr>
      </w:pP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Os efeitos de atrasar e adiantar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Fonts w:ascii="Cambria" w:hAnsi="Cambria" w:cs="Cambria"/>
          <w:i/>
          <w:iCs/>
          <w:szCs w:val="20"/>
        </w:rPr>
        <w:t xml:space="preserve"> 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a hora</w:t>
      </w:r>
      <w:r w:rsidRPr="00A06370">
        <w:rPr>
          <w:rFonts w:ascii="Traveling _Typewriter" w:hAnsi="Traveling _Typewriter" w:cs="Calibri Light"/>
          <w:i/>
          <w:iCs/>
          <w:szCs w:val="20"/>
        </w:rPr>
        <w:t>: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no outono, no dia anterior à mudança,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quem sai para trabalhar pelas 07:30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levanta-se de noite, com o Sol a p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ô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r-se às 18:30. Em compensação, no dia seguinte, às 07:30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é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dia, e o Sol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p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õ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e-se 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s 17:30. Na primavera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o efeito 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é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oposto.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Mas se o objetivo é aproveitar a iluminação do Sol, só funciona para países a latitudes médias. </w:t>
      </w:r>
    </w:p>
    <w:p w14:paraId="70D98F7C" w14:textId="77777777" w:rsidR="00733697" w:rsidRPr="00A06370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Style w:val="FootnoteReference"/>
          <w:rFonts w:ascii="Traveling _Typewriter" w:hAnsi="Traveling _Typewriter" w:cs="Calibri Light"/>
          <w:i/>
          <w:iCs/>
          <w:szCs w:val="20"/>
        </w:rPr>
      </w:pP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Como o eixo de rotação da Terra é inclinado, perto do equador a duração do dia muda pouco ao longo do ano, pelo que não há necessidade de mudança. Em </w:t>
      </w:r>
      <w:proofErr w:type="spellStart"/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Svalbard</w:t>
      </w:r>
      <w:proofErr w:type="spellEnd"/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, Noruega, latitude 80º N, desde abril até agosto, o Sol nunca se põe, e desde o novembro até fevereiro, o Sol nunca nasce! Adiantar ou atrasar a hora torna-se, assim, inútil. Por isso, só nas latitudes médias, nem demasiado perto do equador, nem dos polos é que a hora de verão significa uma “poupança de luz do dia”. </w:t>
      </w:r>
    </w:p>
    <w:p w14:paraId="65628028" w14:textId="77777777" w:rsidR="00733697" w:rsidRPr="00A06370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Fonts w:ascii="Traveling _Typewriter" w:hAnsi="Traveling _Typewriter" w:cs="Calibri Light"/>
          <w:i/>
          <w:iCs/>
          <w:szCs w:val="20"/>
        </w:rPr>
      </w:pP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Em 1996, a União Europeia, decidiu padronizar a hora de verão entre os Estados (exceções, Islândia e Rússia) concordaram em implementar a hora de verão. A convenção é avançar os relógios 60 minutos do último domingo de março e voltar a atrasá-los 60 minutos do último domingo de outubro. Em 2018, o Parlamento Europeu lançou um inquérito para determinar se os cidadãos preferiam manter ou terminar com a mudança de hora. A maioria dos votos foi a favor de acabar com a mudança da hora, mas só 0,85% dos Europeus votaram, dos quais 70% eram alemães. O voto alemão é compreensível: no dia do solstício de verão, Berlim tem mais duas horas de luz do dia do que Lisboa, enquanto no solstício de inverno, o dia dura menos duas horas do que na capital portuguesa, com o Sol a nascer </w:t>
      </w:r>
      <w:r w:rsidRPr="00A06370">
        <w:rPr>
          <w:rStyle w:val="FootnoteReference"/>
          <w:rFonts w:ascii="Traveling _Typewriter" w:hAnsi="Traveling _Typewriter"/>
          <w:i/>
          <w:iCs/>
          <w:szCs w:val="20"/>
        </w:rPr>
        <w:t>às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8h15 e a pôr-se antes das 16h00. Assim se explica que, na Alemanha, a mudança é irrelevante em termos de aproveitamento de luz solar. </w:t>
      </w:r>
    </w:p>
    <w:p w14:paraId="0EDB5EF8" w14:textId="77777777" w:rsidR="00733697" w:rsidRPr="00A06370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Fonts w:ascii="Traveling _Typewriter" w:hAnsi="Traveling _Typewriter" w:cs="Calibri Light"/>
          <w:i/>
          <w:iCs/>
          <w:szCs w:val="20"/>
        </w:rPr>
      </w:pP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Baseado nos resultados do inquérito, em 2019 o Parlamento Europeu votou para terminar a mudança da hora, em 2021. No entanto, o Conselho da UE exigiu um estudo do impacto detalhado que o fim da mudança acarretaria, ainda por elaborar. </w:t>
      </w:r>
    </w:p>
    <w:p w14:paraId="10D6FACE" w14:textId="77777777" w:rsidR="00733697" w:rsidRPr="00A06370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Style w:val="FootnoteReference"/>
          <w:rFonts w:ascii="Traveling _Typewriter" w:hAnsi="Traveling _Typewriter" w:cs="Calibri Light"/>
          <w:i/>
          <w:iCs/>
          <w:szCs w:val="20"/>
        </w:rPr>
      </w:pP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Há variadíssimos estudos que analisam o impacto no consumo de energia, número de acidentes rodoviários, perturbações do ciclo circadiano (o nosso relógio biológico), impacto na economia e o simples bem-estar da população. Destes, uns apontam para vantagens em manter a mudança (por exº, sair para a Escola de noite, no pico do inverno, aumenta a hipótese de atropelamento das crianças), outros mostram vantagens em manter a mesma hora todo o ano (o stress da mudança pode ser nocivo para a saúde de imunodeprimidos ou com doenças de sono) e outros afirmam não haver qualquer diferença entre manter ou não a mudança (como o relatório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do Laborat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ó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rio Nacional de Energia e Geologia, que analisa o impacto da mudança da hora na penetração da geração de energia renovável no consumo). </w:t>
      </w:r>
    </w:p>
    <w:p w14:paraId="226078D8" w14:textId="77777777" w:rsidR="00733697" w:rsidRPr="00A06370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Fonts w:ascii="Cambria" w:hAnsi="Cambria" w:cs="Cambria"/>
          <w:i/>
          <w:iCs/>
          <w:szCs w:val="20"/>
        </w:rPr>
      </w:pP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Em Portugal, a Comissão Permanente da Hora é o órgão consultivo da República, para “estudar, propor e fazer cumprir as medidas de natureza científica e regulamentar ligadas ao regime de hora legal e aos problemas da hora científica”.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</w:p>
    <w:p w14:paraId="6A08BF4C" w14:textId="77777777" w:rsidR="00733697" w:rsidRPr="00A06370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Style w:val="FootnoteReference"/>
          <w:rFonts w:ascii="Traveling _Typewriter" w:hAnsi="Traveling _Typewriter" w:cs="Calibri Light"/>
          <w:i/>
          <w:iCs/>
          <w:szCs w:val="20"/>
        </w:rPr>
      </w:pP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Em 2018, a comiss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ã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o elaborou um parecer e conc</w:t>
      </w:r>
      <w:r w:rsidRPr="00A06370">
        <w:rPr>
          <w:rStyle w:val="FootnoteReference"/>
          <w:rFonts w:ascii="Traveling _Typewriter" w:hAnsi="Traveling _Typewriter"/>
          <w:i/>
          <w:iCs/>
          <w:szCs w:val="20"/>
        </w:rPr>
        <w:t>luiu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que 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“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nenhuma das hip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ó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teses 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é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boa solu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çã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o, sendo a UTC+1 a pior delas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”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. Manter UTC+1 corresponderia a manter permanentemente a hora de ver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ã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o, algo semelhante ao que aconteceu entre 1992 e 1996, durante o </w:t>
      </w:r>
      <w:r w:rsidRPr="00A06370">
        <w:rPr>
          <w:rFonts w:ascii="Traveling _Typewriter" w:hAnsi="Traveling _Typewriter" w:cs="Calibri Light"/>
          <w:i/>
          <w:iCs/>
          <w:szCs w:val="20"/>
        </w:rPr>
        <w:t>G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overno de Cavaco Silva, quando Portugal adotou o fuso hor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á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rio CET (Central European Time), o mesmo que o resto da Europa. Nessa altura, no pico do inverno, o Sol nascia por volta das 9h00. No entanto, em 2021, um conjunto de peritos assinou a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Declara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çã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o de Barcelona sobre Pol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í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ticas do Tempo, sustentando que se deve acabar com a mudan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ç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a pois “</w:t>
      </w:r>
      <w:r w:rsidRPr="00A06370">
        <w:rPr>
          <w:rStyle w:val="FootnoteReference"/>
          <w:rFonts w:ascii="Traveling _Typewriter" w:hAnsi="Traveling _Typewriter" w:cs="Calibri Light"/>
          <w:szCs w:val="20"/>
        </w:rPr>
        <w:t>não tem efeitos significativos na poupança energética, nem melhora a saúde, economia, segurança e meio ambiente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”. </w:t>
      </w:r>
    </w:p>
    <w:p w14:paraId="6C9FB5BA" w14:textId="77777777" w:rsidR="00733697" w:rsidRPr="00D25C7F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Fonts w:ascii="Traveling _Typewriter" w:hAnsi="Traveling _Typewriter" w:cs="Calibri Light"/>
          <w:i/>
          <w:iCs/>
          <w:szCs w:val="20"/>
        </w:rPr>
      </w:pP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Na Região, a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mudan</w:t>
      </w:r>
      <w:r w:rsidRPr="00A06370">
        <w:rPr>
          <w:rStyle w:val="FootnoteReference"/>
          <w:rFonts w:ascii="Traveling _Typewriter" w:hAnsi="Traveling _Typewriter" w:cs="Traveling _Typewriter"/>
          <w:i/>
          <w:iCs/>
          <w:szCs w:val="20"/>
        </w:rPr>
        <w:t>ç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>a</w:t>
      </w:r>
      <w:r w:rsidRPr="00A06370">
        <w:rPr>
          <w:rStyle w:val="FootnoteReference"/>
          <w:rFonts w:ascii="Cambria" w:hAnsi="Cambria" w:cs="Cambria"/>
          <w:i/>
          <w:iCs/>
          <w:szCs w:val="20"/>
        </w:rPr>
        <w:t> </w:t>
      </w:r>
      <w:r w:rsidRPr="00A06370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ocorre </w:t>
      </w:r>
      <w:r w:rsidRPr="00D25C7F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pelo Decreto Legislativo Regional </w:t>
      </w:r>
      <w:proofErr w:type="spellStart"/>
      <w:r w:rsidRPr="00D25C7F">
        <w:rPr>
          <w:rStyle w:val="FootnoteReference"/>
          <w:rFonts w:ascii="Traveling _Typewriter" w:hAnsi="Traveling _Typewriter" w:cs="Calibri Light"/>
          <w:i/>
          <w:iCs/>
          <w:szCs w:val="20"/>
        </w:rPr>
        <w:t>6/96/M</w:t>
      </w:r>
      <w:proofErr w:type="spellEnd"/>
      <w:r w:rsidRPr="00D25C7F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. Como pessoa da quarta idade, cada vez simpatizo menos com a mudança de hora. Em novo gostava da mudança invernal para dormir mais uma hora, não sinto nenhuma vantagem, antes pelo contrário. A alteração no ritmo circadiano afeta-me, e demoro semanas infindas a ajustar-me. </w:t>
      </w:r>
    </w:p>
    <w:p w14:paraId="460B88B8" w14:textId="77777777" w:rsidR="00733697" w:rsidRPr="00D25C7F" w:rsidRDefault="00733697" w:rsidP="00733697">
      <w:pPr>
        <w:tabs>
          <w:tab w:val="left" w:pos="57"/>
          <w:tab w:val="left" w:pos="142"/>
          <w:tab w:val="left" w:pos="284"/>
        </w:tabs>
        <w:ind w:left="0" w:firstLine="284"/>
        <w:jc w:val="both"/>
        <w:rPr>
          <w:rFonts w:ascii="Traveling _Typewriter" w:hAnsi="Traveling _Typewriter" w:cs="Calibri Light"/>
          <w:i/>
          <w:iCs/>
          <w:szCs w:val="20"/>
        </w:rPr>
      </w:pPr>
      <w:r w:rsidRPr="00D25C7F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No inverno acordo à hora habitual e não me deito uma hora mais cedo como devia. Para mim, isto é um negócio que favorece as companhias de eletricidade, pois são menos as pessoas e as horas em que se ligava a luz de manhã comparadas com mais pessoas e mais horas de luz ligada no fim do dia. </w:t>
      </w:r>
    </w:p>
    <w:p w14:paraId="3D33E78A" w14:textId="4388E744" w:rsidR="0043230F" w:rsidRDefault="00733697" w:rsidP="00733697">
      <w:r w:rsidRPr="00D25C7F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Resultado, maior consumo de energia e quem disser o contrário mente. Como país </w:t>
      </w:r>
      <w:proofErr w:type="spellStart"/>
      <w:r w:rsidRPr="00D25C7F">
        <w:rPr>
          <w:rStyle w:val="FootnoteReference"/>
          <w:rFonts w:ascii="Traveling _Typewriter" w:hAnsi="Traveling _Typewriter" w:cs="Calibri Light"/>
          <w:i/>
          <w:iCs/>
          <w:szCs w:val="20"/>
        </w:rPr>
        <w:t>carneirento</w:t>
      </w:r>
      <w:proofErr w:type="spellEnd"/>
      <w:r w:rsidRPr="00D25C7F">
        <w:rPr>
          <w:rStyle w:val="FootnoteReference"/>
          <w:rFonts w:ascii="Traveling _Typewriter" w:hAnsi="Traveling _Typewriter" w:cs="Calibri Light"/>
          <w:i/>
          <w:iCs/>
          <w:szCs w:val="20"/>
        </w:rPr>
        <w:t xml:space="preserve"> ninguém protesta, todos fazem o que mandam e mudam os relógios duas vezes ao ano, esqueceram-se de avisar os animais que são as maiores vítimas da mudança de hora para alterarem o relógio biológico</w:t>
      </w:r>
    </w:p>
    <w:sectPr w:rsidR="00432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97"/>
    <w:rsid w:val="0029487C"/>
    <w:rsid w:val="0043230F"/>
    <w:rsid w:val="00733697"/>
    <w:rsid w:val="007E5845"/>
    <w:rsid w:val="00D44E69"/>
    <w:rsid w:val="00E244FE"/>
    <w:rsid w:val="00F340B5"/>
    <w:rsid w:val="00F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9E0A"/>
  <w15:chartTrackingRefBased/>
  <w15:docId w15:val="{AFFDAE90-BC63-4816-84D7-6244C2A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97"/>
    <w:pPr>
      <w:spacing w:after="0" w:line="240" w:lineRule="auto"/>
      <w:ind w:left="57" w:firstLine="340"/>
    </w:pPr>
    <w:rPr>
      <w:rFonts w:ascii="Calibri Light" w:eastAsia="Calibri" w:hAnsi="Calibri Light" w:cs="Arial"/>
      <w:sz w:val="20"/>
      <w:szCs w:val="22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697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697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697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697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3697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697"/>
    <w:pPr>
      <w:keepNext/>
      <w:keepLines/>
      <w:spacing w:before="4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697"/>
    <w:pPr>
      <w:keepNext/>
      <w:keepLines/>
      <w:spacing w:before="4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697"/>
    <w:pPr>
      <w:keepNext/>
      <w:keepLines/>
      <w:spacing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697"/>
    <w:pPr>
      <w:keepNext/>
      <w:keepLines/>
      <w:spacing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33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697"/>
    <w:pPr>
      <w:spacing w:after="80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6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69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3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697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3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697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qFormat/>
    <w:rsid w:val="00733697"/>
    <w:rPr>
      <w:rFonts w:ascii="Calibri Light" w:hAnsi="Calibri Light" w:cs="Tahoma" w:hint="default"/>
      <w:i w:val="0"/>
      <w:iCs w:val="0"/>
      <w:sz w:val="16"/>
      <w:szCs w:val="16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1</cp:revision>
  <dcterms:created xsi:type="dcterms:W3CDTF">2025-03-29T20:56:00Z</dcterms:created>
  <dcterms:modified xsi:type="dcterms:W3CDTF">2025-03-29T20:56:00Z</dcterms:modified>
</cp:coreProperties>
</file>