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AC3A" w14:textId="77777777" w:rsidR="008B38AF" w:rsidRDefault="008B38AF" w:rsidP="008B38AF">
      <w:pPr>
        <w:pStyle w:val="Title"/>
        <w:spacing w:line="360" w:lineRule="auto"/>
        <w:rPr>
          <w:sz w:val="20"/>
        </w:rPr>
      </w:pPr>
      <w:r>
        <w:rPr>
          <w:sz w:val="20"/>
        </w:rPr>
        <w:t>TEXTO DE APRESENTAÇÃO</w:t>
      </w:r>
    </w:p>
    <w:p w14:paraId="6817367D" w14:textId="77777777" w:rsidR="008B38AF" w:rsidRDefault="008B38AF" w:rsidP="008B38AF">
      <w:pPr>
        <w:pStyle w:val="Title"/>
        <w:spacing w:line="360" w:lineRule="auto"/>
        <w:rPr>
          <w:sz w:val="20"/>
        </w:rPr>
      </w:pPr>
      <w:proofErr w:type="gramStart"/>
      <w:r>
        <w:rPr>
          <w:sz w:val="20"/>
        </w:rPr>
        <w:t>da</w:t>
      </w:r>
      <w:proofErr w:type="gramEnd"/>
    </w:p>
    <w:p w14:paraId="5D923858" w14:textId="77777777" w:rsidR="008B38AF" w:rsidRDefault="008B38AF" w:rsidP="008B38AF">
      <w:pPr>
        <w:pStyle w:val="Title"/>
        <w:spacing w:line="360" w:lineRule="auto"/>
        <w:rPr>
          <w:i/>
          <w:sz w:val="20"/>
        </w:rPr>
      </w:pPr>
      <w:r w:rsidRPr="00F00ED7">
        <w:rPr>
          <w:i/>
          <w:sz w:val="20"/>
        </w:rPr>
        <w:t>Antologia Bilingue de Autores Açorianos Contemporâneos</w:t>
      </w:r>
    </w:p>
    <w:p w14:paraId="4D886721" w14:textId="77777777" w:rsidR="008B38AF" w:rsidRPr="00F00ED7" w:rsidRDefault="008B38AF" w:rsidP="008B38AF">
      <w:pPr>
        <w:pStyle w:val="Title"/>
        <w:spacing w:line="360" w:lineRule="auto"/>
        <w:jc w:val="right"/>
        <w:rPr>
          <w:b w:val="0"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</w:p>
    <w:p w14:paraId="04E92AB1" w14:textId="77777777" w:rsidR="008B38AF" w:rsidRPr="00306B51" w:rsidRDefault="008B38AF" w:rsidP="008B38AF">
      <w:pPr>
        <w:pStyle w:val="Title"/>
        <w:spacing w:line="360" w:lineRule="auto"/>
        <w:rPr>
          <w:sz w:val="20"/>
        </w:rPr>
      </w:pPr>
    </w:p>
    <w:p w14:paraId="001789A4" w14:textId="77777777" w:rsidR="008B38AF" w:rsidRPr="00306B51" w:rsidRDefault="008B38AF" w:rsidP="008B38AF">
      <w:pPr>
        <w:pStyle w:val="Title"/>
        <w:spacing w:line="360" w:lineRule="auto"/>
        <w:rPr>
          <w:sz w:val="20"/>
        </w:rPr>
      </w:pPr>
    </w:p>
    <w:p w14:paraId="22081B0B" w14:textId="77777777" w:rsidR="008B38AF" w:rsidRPr="00306B51" w:rsidRDefault="008B38AF" w:rsidP="008B38AF">
      <w:pPr>
        <w:pStyle w:val="Title"/>
        <w:spacing w:line="360" w:lineRule="auto"/>
        <w:rPr>
          <w:b w:val="0"/>
          <w:i/>
          <w:sz w:val="20"/>
        </w:rPr>
      </w:pPr>
      <w:proofErr w:type="spellStart"/>
      <w:r w:rsidRPr="00306B51">
        <w:rPr>
          <w:b w:val="0"/>
          <w:i/>
          <w:sz w:val="20"/>
        </w:rPr>
        <w:t>Exempla</w:t>
      </w:r>
      <w:proofErr w:type="spellEnd"/>
      <w:r w:rsidRPr="00306B51">
        <w:rPr>
          <w:b w:val="0"/>
          <w:i/>
          <w:sz w:val="20"/>
        </w:rPr>
        <w:t xml:space="preserve"> </w:t>
      </w:r>
      <w:proofErr w:type="spellStart"/>
      <w:r w:rsidRPr="00306B51">
        <w:rPr>
          <w:b w:val="0"/>
          <w:i/>
          <w:sz w:val="20"/>
        </w:rPr>
        <w:t>docent</w:t>
      </w:r>
      <w:proofErr w:type="spellEnd"/>
      <w:r w:rsidRPr="00306B51">
        <w:rPr>
          <w:b w:val="0"/>
          <w:i/>
          <w:sz w:val="20"/>
        </w:rPr>
        <w:t xml:space="preserve">, non </w:t>
      </w:r>
      <w:proofErr w:type="spellStart"/>
      <w:r w:rsidRPr="00306B51">
        <w:rPr>
          <w:b w:val="0"/>
          <w:i/>
          <w:sz w:val="20"/>
        </w:rPr>
        <w:t>jubent</w:t>
      </w:r>
      <w:proofErr w:type="spellEnd"/>
    </w:p>
    <w:p w14:paraId="2C022CE5" w14:textId="77777777" w:rsidR="008B38AF" w:rsidRPr="00306B51" w:rsidRDefault="008B38AF" w:rsidP="008B38AF">
      <w:pPr>
        <w:spacing w:line="360" w:lineRule="auto"/>
        <w:jc w:val="both"/>
        <w:rPr>
          <w:rFonts w:ascii="Arial" w:hAnsi="Arial"/>
          <w:i/>
          <w:sz w:val="20"/>
        </w:rPr>
      </w:pPr>
    </w:p>
    <w:p w14:paraId="6A8121A2" w14:textId="77777777" w:rsidR="008B38AF" w:rsidRPr="00306B51" w:rsidRDefault="008B38AF" w:rsidP="008B38AF">
      <w:pPr>
        <w:spacing w:line="360" w:lineRule="auto"/>
        <w:jc w:val="both"/>
        <w:rPr>
          <w:rFonts w:ascii="Arial" w:hAnsi="Arial"/>
          <w:sz w:val="20"/>
        </w:rPr>
      </w:pPr>
      <w:r w:rsidRPr="00306B51">
        <w:rPr>
          <w:rFonts w:ascii="Arial" w:hAnsi="Arial"/>
          <w:sz w:val="20"/>
        </w:rPr>
        <w:tab/>
        <w:t xml:space="preserve">Escreveu Pedro da Silveira, redimindo-se, talvez, do caráter pouco sucinto que imprimiu ao texto de abertura da sua </w:t>
      </w:r>
      <w:r w:rsidRPr="00306B51">
        <w:rPr>
          <w:rFonts w:ascii="Arial" w:hAnsi="Arial"/>
          <w:i/>
          <w:sz w:val="20"/>
        </w:rPr>
        <w:t>Antologia de Poesia Açoriana</w:t>
      </w:r>
      <w:r w:rsidRPr="00306B51">
        <w:rPr>
          <w:rFonts w:ascii="Arial" w:hAnsi="Arial"/>
          <w:sz w:val="20"/>
        </w:rPr>
        <w:t xml:space="preserve">. </w:t>
      </w:r>
      <w:r w:rsidRPr="00306B51">
        <w:rPr>
          <w:rFonts w:ascii="Arial" w:hAnsi="Arial"/>
          <w:i/>
          <w:sz w:val="20"/>
        </w:rPr>
        <w:t>Do século XVIII a 1975</w:t>
      </w:r>
      <w:r w:rsidRPr="00306B51">
        <w:rPr>
          <w:rFonts w:ascii="Arial" w:hAnsi="Arial"/>
          <w:sz w:val="20"/>
        </w:rPr>
        <w:t>, que os prefácios (e incluímos nesta dimensão paratextual, como é óbvio, as introduções, as notas preliminares e</w:t>
      </w:r>
      <w:r>
        <w:rPr>
          <w:rFonts w:ascii="Arial" w:hAnsi="Arial"/>
          <w:sz w:val="20"/>
        </w:rPr>
        <w:t xml:space="preserve"> </w:t>
      </w:r>
      <w:r w:rsidRPr="00306B51">
        <w:rPr>
          <w:rFonts w:ascii="Arial" w:hAnsi="Arial"/>
          <w:sz w:val="20"/>
        </w:rPr>
        <w:t xml:space="preserve">as apresentações) devem ser “introdutores e não… abafadores” (1977: 39). A fim de render preito a tão assisada prescrição, não podem as Autoras deixar de tecer algumas considerações, breves que sejam (assim evitando ‘sufocar’ os </w:t>
      </w:r>
      <w:r w:rsidR="00BB4A64">
        <w:rPr>
          <w:rFonts w:ascii="Arial" w:hAnsi="Arial"/>
          <w:sz w:val="20"/>
        </w:rPr>
        <w:t>Espetadores</w:t>
      </w:r>
      <w:r>
        <w:rPr>
          <w:rFonts w:ascii="Arial" w:hAnsi="Arial"/>
          <w:sz w:val="20"/>
        </w:rPr>
        <w:t xml:space="preserve"> presentes, futuros </w:t>
      </w:r>
      <w:r w:rsidRPr="00306B51">
        <w:rPr>
          <w:rFonts w:ascii="Arial" w:hAnsi="Arial"/>
          <w:sz w:val="20"/>
        </w:rPr>
        <w:t>Leitores), rela</w:t>
      </w:r>
      <w:r>
        <w:rPr>
          <w:rFonts w:ascii="Arial" w:hAnsi="Arial"/>
          <w:sz w:val="20"/>
        </w:rPr>
        <w:t xml:space="preserve">tivas à génese, aos objetivos, </w:t>
      </w:r>
      <w:r w:rsidRPr="00306B51">
        <w:rPr>
          <w:rFonts w:ascii="Arial" w:hAnsi="Arial"/>
          <w:sz w:val="20"/>
        </w:rPr>
        <w:t>à estrutura</w:t>
      </w:r>
      <w:r>
        <w:rPr>
          <w:rFonts w:ascii="Arial" w:hAnsi="Arial"/>
          <w:sz w:val="20"/>
        </w:rPr>
        <w:t>, aos desafios (futuros) e à receção</w:t>
      </w:r>
      <w:r w:rsidRPr="00306B51">
        <w:rPr>
          <w:rFonts w:ascii="Arial" w:hAnsi="Arial"/>
          <w:sz w:val="20"/>
        </w:rPr>
        <w:t xml:space="preserve"> desta </w:t>
      </w:r>
      <w:r w:rsidRPr="00306B51">
        <w:rPr>
          <w:rFonts w:ascii="Arial" w:hAnsi="Arial"/>
          <w:i/>
          <w:sz w:val="20"/>
        </w:rPr>
        <w:t>Antologia bilingue</w:t>
      </w:r>
      <w:r w:rsidRPr="00306B51">
        <w:rPr>
          <w:rFonts w:ascii="Arial" w:hAnsi="Arial"/>
          <w:sz w:val="20"/>
        </w:rPr>
        <w:t xml:space="preserve">. </w:t>
      </w:r>
    </w:p>
    <w:p w14:paraId="76F438E3" w14:textId="77777777" w:rsidR="008B38AF" w:rsidRPr="00306B51" w:rsidRDefault="008B38AF" w:rsidP="008B38AF">
      <w:pPr>
        <w:spacing w:line="360" w:lineRule="auto"/>
        <w:jc w:val="both"/>
        <w:rPr>
          <w:rFonts w:ascii="Arial" w:hAnsi="Arial"/>
          <w:sz w:val="20"/>
        </w:rPr>
      </w:pPr>
      <w:r w:rsidRPr="00306B51">
        <w:rPr>
          <w:rFonts w:ascii="Arial" w:hAnsi="Arial"/>
          <w:sz w:val="20"/>
        </w:rPr>
        <w:tab/>
        <w:t>No que respeita ao primeiro item, é de re</w:t>
      </w:r>
      <w:r>
        <w:rPr>
          <w:rFonts w:ascii="Arial" w:hAnsi="Arial"/>
          <w:sz w:val="20"/>
        </w:rPr>
        <w:t>ferir que, se em 2008 se propôs</w:t>
      </w:r>
      <w:r w:rsidRPr="00306B51">
        <w:rPr>
          <w:rFonts w:ascii="Arial" w:hAnsi="Arial"/>
          <w:sz w:val="20"/>
        </w:rPr>
        <w:t xml:space="preserve"> à Direção Regional da Educação e Formação do Governo Regional dos Açores a elaboração de uma </w:t>
      </w:r>
      <w:r w:rsidRPr="00306B51">
        <w:rPr>
          <w:rFonts w:ascii="Arial" w:hAnsi="Arial"/>
          <w:i/>
          <w:sz w:val="20"/>
        </w:rPr>
        <w:t>Antologia de Autores açorianos contemporâneos</w:t>
      </w:r>
      <w:r w:rsidRPr="00306B51">
        <w:rPr>
          <w:rFonts w:ascii="Arial" w:hAnsi="Arial"/>
          <w:sz w:val="20"/>
        </w:rPr>
        <w:t xml:space="preserve"> passível de integração no plano curricular do </w:t>
      </w:r>
      <w:r>
        <w:rPr>
          <w:rFonts w:ascii="Arial" w:hAnsi="Arial"/>
          <w:sz w:val="20"/>
        </w:rPr>
        <w:t>Ensino Básico, decidiu-se</w:t>
      </w:r>
      <w:r w:rsidRPr="00306B51">
        <w:rPr>
          <w:rFonts w:ascii="Arial" w:hAnsi="Arial"/>
          <w:sz w:val="20"/>
        </w:rPr>
        <w:t xml:space="preserve">, ulteriormente, solicitar o apoio da Direção Geral das Comunidades para o financiamento de uma edição bilingue, português-inglês, numa versão menos longa do que a sua homóloga, a </w:t>
      </w:r>
      <w:r w:rsidRPr="00306B51">
        <w:rPr>
          <w:rFonts w:ascii="Arial" w:hAnsi="Arial"/>
          <w:i/>
          <w:sz w:val="20"/>
        </w:rPr>
        <w:t>Antologia</w:t>
      </w:r>
      <w:r>
        <w:rPr>
          <w:rFonts w:ascii="Arial" w:hAnsi="Arial"/>
          <w:sz w:val="20"/>
        </w:rPr>
        <w:t xml:space="preserve"> monolingue, concluída há mais</w:t>
      </w:r>
      <w:r w:rsidRPr="00306B51">
        <w:rPr>
          <w:rFonts w:ascii="Arial" w:hAnsi="Arial"/>
          <w:sz w:val="20"/>
        </w:rPr>
        <w:t xml:space="preserve"> de um ano.</w:t>
      </w:r>
    </w:p>
    <w:p w14:paraId="12375208" w14:textId="77777777" w:rsidR="008B38AF" w:rsidRPr="00306B51" w:rsidRDefault="008B38AF" w:rsidP="008B38AF">
      <w:pPr>
        <w:pStyle w:val="BodyText"/>
        <w:spacing w:line="360" w:lineRule="auto"/>
        <w:rPr>
          <w:sz w:val="20"/>
        </w:rPr>
      </w:pPr>
      <w:r w:rsidRPr="00306B51">
        <w:rPr>
          <w:sz w:val="20"/>
        </w:rPr>
        <w:tab/>
        <w:t xml:space="preserve">Os objetivos que </w:t>
      </w:r>
      <w:r>
        <w:rPr>
          <w:sz w:val="20"/>
        </w:rPr>
        <w:t xml:space="preserve">então, tal como hoje, presidiram à sua elaboração </w:t>
      </w:r>
      <w:r w:rsidRPr="00306B51">
        <w:rPr>
          <w:sz w:val="20"/>
        </w:rPr>
        <w:t xml:space="preserve">(e cujo elenco mais ou menos completo seria fastidioso) foram, entre outros, o de proporcionar às comunidades </w:t>
      </w:r>
      <w:r>
        <w:rPr>
          <w:sz w:val="20"/>
        </w:rPr>
        <w:t xml:space="preserve">estrangeiras e </w:t>
      </w:r>
      <w:r w:rsidRPr="00306B51">
        <w:rPr>
          <w:sz w:val="20"/>
        </w:rPr>
        <w:t>açorianas, lusofalantes e não só, radicadas nos Estados Unidos e no Canadá (para mais n</w:t>
      </w:r>
      <w:r>
        <w:rPr>
          <w:sz w:val="20"/>
        </w:rPr>
        <w:t xml:space="preserve">ão citar), o acesso a uma obra nascida no Arquipélago, esgotada, na maioria dos casos (porque não reeditada) ou, então, relegada para os ‘Reservados’ das Bibliotecas e para os ‘Arquivos’ dos periódicos, solitários, mas desmerecedores de solidão. Para além da divulgação literária, não se marginalizou, como objetivo segundo, a aprendizagem da língua portuguesa em geral e dos açorianismos em particular, que enobrecem a primeira e lhe conferem um casticismo regionalista e universalizante em simultâneo. Caso assim não fosse, não se teria justificado a publicação, há já alguns anos, de um </w:t>
      </w:r>
      <w:r w:rsidRPr="001D003D">
        <w:rPr>
          <w:i/>
          <w:sz w:val="20"/>
        </w:rPr>
        <w:t>Dicionário</w:t>
      </w:r>
      <w:r>
        <w:rPr>
          <w:sz w:val="20"/>
        </w:rPr>
        <w:t xml:space="preserve"> inteiramente consagrado aos vocábulos e às expressões açorianas. Por último, e mercê da tradução para língua inglesa dos textos compilados</w:t>
      </w:r>
      <w:proofErr w:type="gramStart"/>
      <w:r>
        <w:rPr>
          <w:sz w:val="20"/>
        </w:rPr>
        <w:t>,</w:t>
      </w:r>
      <w:proofErr w:type="gramEnd"/>
      <w:r>
        <w:rPr>
          <w:sz w:val="20"/>
        </w:rPr>
        <w:t xml:space="preserve"> pretendeu-se ‘alargar’ o público-alvo, proveniente à partida das Ilhas e do Continente (como é sólito dizer-se no Continente e nas Ilhas), ao ‘estrangeiro’, tanto o que desconhece e mal conhece o português como o aprendiz ou neófito que tateia e tenteia, embora numa escala diferente, as competências linguísticas e literárias basilares. Ainda neste contexto, </w:t>
      </w:r>
      <w:r>
        <w:rPr>
          <w:sz w:val="20"/>
        </w:rPr>
        <w:lastRenderedPageBreak/>
        <w:t xml:space="preserve">uma outra vantagem não deixará de ter esta </w:t>
      </w:r>
      <w:r w:rsidRPr="00661563">
        <w:rPr>
          <w:i/>
          <w:sz w:val="20"/>
        </w:rPr>
        <w:t>Antologia bilingue</w:t>
      </w:r>
      <w:r>
        <w:rPr>
          <w:sz w:val="20"/>
        </w:rPr>
        <w:t xml:space="preserve">, quer para os estudantes, quer para os especialistas em “Estudos de tradução”: a de facultar, linha a linha, página a página, a comparação ou o paralelismo entre o texto de partida e o texto de chegada, ajuizando os constrangimentos impostos </w:t>
      </w:r>
      <w:proofErr w:type="spellStart"/>
      <w:proofErr w:type="gramStart"/>
      <w:r>
        <w:rPr>
          <w:sz w:val="20"/>
        </w:rPr>
        <w:t>pela(s</w:t>
      </w:r>
      <w:proofErr w:type="spellEnd"/>
      <w:proofErr w:type="gramEnd"/>
      <w:r>
        <w:rPr>
          <w:sz w:val="20"/>
        </w:rPr>
        <w:t xml:space="preserve">) </w:t>
      </w:r>
      <w:proofErr w:type="spellStart"/>
      <w:r>
        <w:rPr>
          <w:sz w:val="20"/>
        </w:rPr>
        <w:t>língua(s</w:t>
      </w:r>
      <w:proofErr w:type="spellEnd"/>
      <w:r>
        <w:rPr>
          <w:sz w:val="20"/>
        </w:rPr>
        <w:t>) e avalizando o mérito do tradutor, que nem sempre é ‘traidor’, mas, preferencialmente, decifrador e criador, para não dizer coautor.</w:t>
      </w:r>
    </w:p>
    <w:p w14:paraId="6F52B03B" w14:textId="77777777" w:rsidR="008B38AF" w:rsidRPr="00306B51" w:rsidRDefault="008B38AF" w:rsidP="008B38AF">
      <w:pPr>
        <w:spacing w:line="360" w:lineRule="auto"/>
        <w:jc w:val="both"/>
        <w:rPr>
          <w:rFonts w:ascii="Arial" w:hAnsi="Arial"/>
          <w:sz w:val="20"/>
        </w:rPr>
      </w:pPr>
      <w:r w:rsidRPr="00306B51">
        <w:rPr>
          <w:rFonts w:ascii="Arial" w:hAnsi="Arial"/>
          <w:sz w:val="20"/>
        </w:rPr>
        <w:tab/>
        <w:t>No tocante à sua estrutura, e com o intuito de agil</w:t>
      </w:r>
      <w:r>
        <w:rPr>
          <w:rFonts w:ascii="Arial" w:hAnsi="Arial"/>
          <w:sz w:val="20"/>
        </w:rPr>
        <w:t>izar um manuseio eficaz, optou-se</w:t>
      </w:r>
      <w:r w:rsidRPr="00306B51">
        <w:rPr>
          <w:rFonts w:ascii="Arial" w:hAnsi="Arial"/>
          <w:sz w:val="20"/>
        </w:rPr>
        <w:t xml:space="preserve"> por ordenar alfabeticamente </w:t>
      </w:r>
      <w:r>
        <w:rPr>
          <w:rFonts w:ascii="Arial" w:hAnsi="Arial"/>
          <w:sz w:val="20"/>
        </w:rPr>
        <w:t>(a partir do primeiro nome)</w:t>
      </w:r>
      <w:r w:rsidRPr="00306B51">
        <w:rPr>
          <w:rFonts w:ascii="Arial" w:hAnsi="Arial"/>
          <w:sz w:val="20"/>
        </w:rPr>
        <w:t xml:space="preserve"> os Autores</w:t>
      </w:r>
      <w:r>
        <w:rPr>
          <w:rFonts w:ascii="Arial" w:hAnsi="Arial"/>
          <w:sz w:val="20"/>
        </w:rPr>
        <w:t xml:space="preserve"> </w:t>
      </w:r>
      <w:r w:rsidRPr="00306B51">
        <w:rPr>
          <w:rFonts w:ascii="Arial" w:hAnsi="Arial"/>
          <w:sz w:val="20"/>
        </w:rPr>
        <w:t>constando do “Índice”, e, antece</w:t>
      </w:r>
      <w:r>
        <w:rPr>
          <w:rFonts w:ascii="Arial" w:hAnsi="Arial"/>
          <w:sz w:val="20"/>
        </w:rPr>
        <w:t>dendo os extratos escolhidos</w:t>
      </w:r>
      <w:r w:rsidRPr="00306B51">
        <w:rPr>
          <w:rFonts w:ascii="Arial" w:hAnsi="Arial"/>
          <w:sz w:val="20"/>
        </w:rPr>
        <w:t xml:space="preserve"> em português e traduzidos para língua inglesa, proceder a uma breve apresentação individual sob forma de ‘ficha’ biobibliográfica sumária, conquanto dilucidativa.</w:t>
      </w:r>
      <w:r>
        <w:rPr>
          <w:rFonts w:ascii="Arial" w:hAnsi="Arial"/>
          <w:sz w:val="20"/>
        </w:rPr>
        <w:t xml:space="preserve"> Nesta sequência, optou-se por privilegiar, numa etapa inicial, </w:t>
      </w:r>
      <w:r w:rsidRPr="00306B51">
        <w:rPr>
          <w:rFonts w:ascii="Arial" w:hAnsi="Arial"/>
          <w:sz w:val="20"/>
        </w:rPr>
        <w:t xml:space="preserve">a diversidade genológica: assim se explica a coabitação do poema em prosa (“Visão das Ilhas” de Victor Rui Dores), da crónica (“Que nome é esse, ó Nézimo” de Onésimo Teotónio de Almeida), da entrevista (“O que é a </w:t>
      </w:r>
      <w:proofErr w:type="gramStart"/>
      <w:r w:rsidRPr="00306B51">
        <w:rPr>
          <w:rFonts w:ascii="Arial" w:hAnsi="Arial"/>
          <w:sz w:val="20"/>
        </w:rPr>
        <w:t>L(USA</w:t>
      </w:r>
      <w:proofErr w:type="gramEnd"/>
      <w:r w:rsidRPr="00306B51">
        <w:rPr>
          <w:rFonts w:ascii="Arial" w:hAnsi="Arial"/>
          <w:sz w:val="20"/>
        </w:rPr>
        <w:t>)</w:t>
      </w:r>
      <w:proofErr w:type="spellStart"/>
      <w:r w:rsidRPr="00306B51">
        <w:rPr>
          <w:rFonts w:ascii="Arial" w:hAnsi="Arial"/>
          <w:sz w:val="20"/>
        </w:rPr>
        <w:t>LÂNDIA</w:t>
      </w:r>
      <w:proofErr w:type="spellEnd"/>
      <w:r w:rsidRPr="00306B51">
        <w:rPr>
          <w:rFonts w:ascii="Arial" w:hAnsi="Arial"/>
          <w:sz w:val="20"/>
        </w:rPr>
        <w:t xml:space="preserve">?” – entrevista dada por Onésimo Teotónio de Almeida ao </w:t>
      </w:r>
      <w:r w:rsidRPr="00306B51">
        <w:rPr>
          <w:rFonts w:ascii="Arial" w:hAnsi="Arial"/>
          <w:i/>
          <w:sz w:val="20"/>
        </w:rPr>
        <w:t>Correio dos Açores</w:t>
      </w:r>
      <w:r w:rsidRPr="00306B51">
        <w:rPr>
          <w:rFonts w:ascii="Arial" w:hAnsi="Arial"/>
          <w:sz w:val="20"/>
        </w:rPr>
        <w:t xml:space="preserve"> e conduzida por Eduardo Bettencourt Pinto), do jornal íntimo e da autoficção que subjazem à novela </w:t>
      </w:r>
      <w:r w:rsidRPr="00306B51">
        <w:rPr>
          <w:rFonts w:ascii="Arial" w:hAnsi="Arial"/>
          <w:i/>
          <w:sz w:val="20"/>
        </w:rPr>
        <w:t>O pastor das casas mortas</w:t>
      </w:r>
      <w:r w:rsidRPr="00306B51">
        <w:rPr>
          <w:rFonts w:ascii="Arial" w:hAnsi="Arial"/>
          <w:sz w:val="20"/>
        </w:rPr>
        <w:t xml:space="preserve"> de Daniel de Sá, da estória (“</w:t>
      </w:r>
      <w:proofErr w:type="spellStart"/>
      <w:r w:rsidRPr="00306B51">
        <w:rPr>
          <w:rFonts w:ascii="Arial" w:hAnsi="Arial"/>
          <w:sz w:val="20"/>
        </w:rPr>
        <w:t>Estória</w:t>
      </w:r>
      <w:proofErr w:type="spellEnd"/>
      <w:r w:rsidRPr="00306B51">
        <w:rPr>
          <w:rFonts w:ascii="Arial" w:hAnsi="Arial"/>
          <w:sz w:val="20"/>
        </w:rPr>
        <w:t xml:space="preserve"> de Natal” de Álamo de Oliveira), do conto (“A Herança” de Maria de Fátima Borges), do ensaio (“A Ilha” de Urbano Bettencourt) e da poesia (emblematizada por Eduíno de Jesus, Emanuel Félix, Emanuel de Sousa, Marcolino Candeias, Vasco Pereira da Costa e Urbano Bettencourt).  </w:t>
      </w:r>
    </w:p>
    <w:p w14:paraId="523FB188" w14:textId="77777777" w:rsidR="008B38AF" w:rsidRDefault="008B38AF" w:rsidP="008B38AF">
      <w:pPr>
        <w:spacing w:line="360" w:lineRule="auto"/>
        <w:jc w:val="both"/>
        <w:rPr>
          <w:rFonts w:ascii="Arial" w:hAnsi="Arial"/>
          <w:sz w:val="20"/>
        </w:rPr>
      </w:pPr>
      <w:r w:rsidRPr="00306B51">
        <w:rPr>
          <w:rFonts w:ascii="Arial" w:hAnsi="Arial"/>
          <w:sz w:val="20"/>
        </w:rPr>
        <w:tab/>
        <w:t>Conquanto numerados, por razõe</w:t>
      </w:r>
      <w:r>
        <w:rPr>
          <w:rFonts w:ascii="Arial" w:hAnsi="Arial"/>
          <w:sz w:val="20"/>
        </w:rPr>
        <w:t xml:space="preserve">s óbvias de consulta, foram feitas diligências para </w:t>
      </w:r>
      <w:r w:rsidRPr="00306B51">
        <w:rPr>
          <w:rFonts w:ascii="Arial" w:hAnsi="Arial"/>
          <w:sz w:val="20"/>
        </w:rPr>
        <w:t xml:space="preserve">que os “textos estremados” não constituíssem compartimentos estanques, mas antes “vasos comunicantes”. Assim sendo, “Amor à ilha” de Caetano Valadão Serpa parece responder em eco à ilha amada por Ti Fausto, em </w:t>
      </w:r>
      <w:r w:rsidRPr="00306B51">
        <w:rPr>
          <w:rFonts w:ascii="Arial" w:hAnsi="Arial"/>
          <w:i/>
          <w:sz w:val="20"/>
        </w:rPr>
        <w:t>Plantador de palavras Vendedor de lérias</w:t>
      </w:r>
      <w:r w:rsidRPr="00306B51">
        <w:rPr>
          <w:rFonts w:ascii="Arial" w:hAnsi="Arial"/>
          <w:sz w:val="20"/>
        </w:rPr>
        <w:t xml:space="preserve"> de Vasco Pereira da Costa. </w:t>
      </w:r>
    </w:p>
    <w:p w14:paraId="708A9009" w14:textId="77777777" w:rsidR="008B38AF" w:rsidRDefault="008B38AF" w:rsidP="008B38AF">
      <w:pPr>
        <w:spacing w:line="360" w:lineRule="auto"/>
        <w:jc w:val="both"/>
        <w:rPr>
          <w:rFonts w:ascii="Arial" w:hAnsi="Arial"/>
          <w:sz w:val="20"/>
        </w:rPr>
      </w:pPr>
    </w:p>
    <w:p w14:paraId="0EC49D1D" w14:textId="77777777" w:rsidR="008B38AF" w:rsidRPr="00760C8A" w:rsidRDefault="008B38AF" w:rsidP="008B38AF">
      <w:pPr>
        <w:spacing w:line="360" w:lineRule="auto"/>
        <w:jc w:val="both"/>
        <w:rPr>
          <w:rFonts w:ascii="Arial" w:hAnsi="Arial"/>
          <w:sz w:val="18"/>
        </w:rPr>
      </w:pPr>
      <w:r w:rsidRPr="00760C8A">
        <w:rPr>
          <w:rFonts w:ascii="Arial" w:hAnsi="Arial"/>
          <w:sz w:val="18"/>
        </w:rPr>
        <w:t xml:space="preserve">“O amor à ilha é grande, quase não tem limites, transcende as próprias dimensões do arquipélago e continua pelas sete partidas do mundo. </w:t>
      </w:r>
      <w:r w:rsidR="00BB4A64" w:rsidRPr="00760C8A">
        <w:rPr>
          <w:rFonts w:ascii="Arial" w:hAnsi="Arial"/>
          <w:sz w:val="18"/>
        </w:rPr>
        <w:t xml:space="preserve">[...] Daqui, vem o </w:t>
      </w:r>
      <w:r w:rsidR="00BB4A64">
        <w:rPr>
          <w:rFonts w:ascii="Arial" w:hAnsi="Arial"/>
          <w:sz w:val="18"/>
        </w:rPr>
        <w:t>sonho e a aspiração da casa de v</w:t>
      </w:r>
      <w:r w:rsidR="00BB4A64" w:rsidRPr="00760C8A">
        <w:rPr>
          <w:rFonts w:ascii="Arial" w:hAnsi="Arial"/>
          <w:sz w:val="18"/>
        </w:rPr>
        <w:t>erão ou da habitação entre dois mundos para os últimos anos da existência.” (2011: 31).</w:t>
      </w:r>
    </w:p>
    <w:p w14:paraId="27CC0E1F" w14:textId="77777777" w:rsidR="008B38AF" w:rsidRDefault="008B38AF" w:rsidP="008B38AF">
      <w:pPr>
        <w:spacing w:line="360" w:lineRule="auto"/>
        <w:jc w:val="both"/>
        <w:rPr>
          <w:rFonts w:ascii="Arial" w:hAnsi="Arial"/>
          <w:sz w:val="18"/>
        </w:rPr>
      </w:pPr>
      <w:r w:rsidRPr="00760C8A">
        <w:rPr>
          <w:rFonts w:ascii="Arial" w:hAnsi="Arial"/>
          <w:sz w:val="18"/>
        </w:rPr>
        <w:t>“A ilha, para ele [Ti Fausto], não são freguesias, canadas, casas, faias, inhameiros, macieiras, pastos, gado e todo o povo. É uma namorada antiga, que ele afaga nos dias ensoados e que ama com paixão maluca nas noites curtas e eternas.” (2011: 209).</w:t>
      </w:r>
    </w:p>
    <w:p w14:paraId="5A4671A9" w14:textId="77777777" w:rsidR="008B38AF" w:rsidRPr="00760C8A" w:rsidRDefault="008B38AF" w:rsidP="008B38AF">
      <w:pPr>
        <w:spacing w:line="360" w:lineRule="auto"/>
        <w:jc w:val="both"/>
        <w:rPr>
          <w:rFonts w:ascii="Arial" w:hAnsi="Arial"/>
          <w:sz w:val="18"/>
        </w:rPr>
      </w:pPr>
    </w:p>
    <w:p w14:paraId="5B833549" w14:textId="77777777" w:rsidR="008B38AF" w:rsidRDefault="008B38AF" w:rsidP="008B38AF">
      <w:pPr>
        <w:spacing w:line="360" w:lineRule="auto"/>
        <w:ind w:firstLine="720"/>
        <w:jc w:val="both"/>
        <w:rPr>
          <w:rFonts w:ascii="Arial" w:hAnsi="Arial"/>
          <w:sz w:val="20"/>
        </w:rPr>
      </w:pPr>
      <w:r w:rsidRPr="00306B51">
        <w:rPr>
          <w:rFonts w:ascii="Arial" w:hAnsi="Arial"/>
          <w:sz w:val="20"/>
        </w:rPr>
        <w:t xml:space="preserve">Do mesmo modo, e a fim de evitar a monotonia que a simetria veicula, </w:t>
      </w:r>
      <w:r>
        <w:rPr>
          <w:rFonts w:ascii="Arial" w:hAnsi="Arial"/>
          <w:sz w:val="20"/>
        </w:rPr>
        <w:t xml:space="preserve">preferiu-se </w:t>
      </w:r>
      <w:r w:rsidRPr="00306B51">
        <w:rPr>
          <w:rFonts w:ascii="Arial" w:hAnsi="Arial"/>
          <w:sz w:val="20"/>
        </w:rPr>
        <w:t>estabelecer o contraste entre o tom lírico de Daniel de S</w:t>
      </w:r>
      <w:r>
        <w:rPr>
          <w:rFonts w:ascii="Arial" w:hAnsi="Arial"/>
          <w:sz w:val="20"/>
        </w:rPr>
        <w:t xml:space="preserve">á inerente à pintura da serra, </w:t>
      </w:r>
      <w:r w:rsidRPr="00306B51">
        <w:rPr>
          <w:rFonts w:ascii="Arial" w:hAnsi="Arial"/>
          <w:sz w:val="20"/>
        </w:rPr>
        <w:t>o tom satírico de José Martins Garcia nessa crítica social que tem por título “Imposto ininterrupto”</w:t>
      </w:r>
      <w:r>
        <w:rPr>
          <w:rFonts w:ascii="Arial" w:hAnsi="Arial"/>
          <w:sz w:val="20"/>
        </w:rPr>
        <w:t xml:space="preserve"> e o tom hilariante de Onésimo no texto “Que nome é esse, ó Nézimo?”</w:t>
      </w:r>
      <w:r w:rsidRPr="00306B51">
        <w:rPr>
          <w:rFonts w:ascii="Arial" w:hAnsi="Arial"/>
          <w:sz w:val="20"/>
        </w:rPr>
        <w:t>.</w:t>
      </w:r>
    </w:p>
    <w:p w14:paraId="53A02A01" w14:textId="77777777" w:rsidR="008B38AF" w:rsidRDefault="008B38AF" w:rsidP="008B38AF">
      <w:pPr>
        <w:spacing w:line="360" w:lineRule="auto"/>
        <w:jc w:val="both"/>
        <w:rPr>
          <w:rFonts w:ascii="Arial" w:hAnsi="Arial"/>
          <w:sz w:val="20"/>
        </w:rPr>
      </w:pPr>
    </w:p>
    <w:p w14:paraId="42784533" w14:textId="77777777" w:rsidR="008B38AF" w:rsidRPr="00F3203B" w:rsidRDefault="008B38AF" w:rsidP="008B38AF">
      <w:pPr>
        <w:spacing w:line="360" w:lineRule="auto"/>
        <w:jc w:val="both"/>
        <w:rPr>
          <w:rFonts w:ascii="Arial" w:hAnsi="Arial"/>
          <w:sz w:val="18"/>
        </w:rPr>
      </w:pPr>
      <w:r w:rsidRPr="00F3203B">
        <w:rPr>
          <w:rFonts w:ascii="Arial" w:hAnsi="Arial"/>
          <w:sz w:val="18"/>
        </w:rPr>
        <w:t>“Uma paz idílica, profunda como a altura destes montes, estende-se até onde alcança o olhar, que tudo quer ver num relance e em cada pormenor teima em deter-se. Pontilhando os vales e as encostas, aldeias de casas bíblicas, sólidas e imutáveis como os penedos que as enformam, são como que uma afirmação de eternidade no vórtice do tempo.” (2011: 51).</w:t>
      </w:r>
    </w:p>
    <w:p w14:paraId="1B039164" w14:textId="77777777" w:rsidR="008B38AF" w:rsidRPr="00F3203B" w:rsidRDefault="00BB4A64" w:rsidP="008B38AF">
      <w:pPr>
        <w:spacing w:line="360" w:lineRule="auto"/>
        <w:jc w:val="both"/>
        <w:rPr>
          <w:rFonts w:ascii="Arial" w:hAnsi="Arial"/>
          <w:sz w:val="18"/>
        </w:rPr>
      </w:pPr>
      <w:r w:rsidRPr="00F3203B">
        <w:rPr>
          <w:rFonts w:ascii="Arial" w:hAnsi="Arial"/>
          <w:sz w:val="18"/>
        </w:rPr>
        <w:t xml:space="preserve">“Quando, no começo do </w:t>
      </w:r>
      <w:r>
        <w:rPr>
          <w:rFonts w:ascii="Arial" w:hAnsi="Arial"/>
          <w:sz w:val="18"/>
        </w:rPr>
        <w:t>o</w:t>
      </w:r>
      <w:r w:rsidRPr="00F3203B">
        <w:rPr>
          <w:rFonts w:ascii="Arial" w:hAnsi="Arial"/>
          <w:sz w:val="18"/>
        </w:rPr>
        <w:t xml:space="preserve">utono, recebeu uma carta enviada por um tal Manuel Calhau, abriu-a com um misto de repulsa e indiferença. </w:t>
      </w:r>
      <w:r w:rsidR="008B38AF" w:rsidRPr="00F3203B">
        <w:rPr>
          <w:rFonts w:ascii="Arial" w:hAnsi="Arial"/>
          <w:sz w:val="18"/>
        </w:rPr>
        <w:t xml:space="preserve">Nela se lhe comunicava que, tendo a chefia da contabilidade da </w:t>
      </w:r>
      <w:r w:rsidR="008B38AF" w:rsidRPr="00E60718">
        <w:rPr>
          <w:rFonts w:ascii="Arial" w:hAnsi="Arial"/>
          <w:i/>
          <w:sz w:val="18"/>
        </w:rPr>
        <w:t>Suma Filosófica</w:t>
      </w:r>
      <w:r w:rsidR="008B38AF" w:rsidRPr="00F3203B">
        <w:rPr>
          <w:rFonts w:ascii="Arial" w:hAnsi="Arial"/>
          <w:sz w:val="18"/>
        </w:rPr>
        <w:t xml:space="preserve"> transitado para a pessoa do signatário, urgia uma revisão das despesas com vista a uma política de transparência. Pedia-se ao destinatário o favor de preencher o recibo anexo. Era branco, o recibo anexo, com dizeres </w:t>
      </w:r>
      <w:r w:rsidRPr="00F3203B">
        <w:rPr>
          <w:rFonts w:ascii="Arial" w:hAnsi="Arial"/>
          <w:sz w:val="18"/>
        </w:rPr>
        <w:t>datilografados</w:t>
      </w:r>
      <w:r w:rsidR="008B38AF" w:rsidRPr="00F3203B">
        <w:rPr>
          <w:rFonts w:ascii="Arial" w:hAnsi="Arial"/>
          <w:sz w:val="18"/>
        </w:rPr>
        <w:t>. “ (2011: 147).</w:t>
      </w:r>
    </w:p>
    <w:p w14:paraId="72ED7753" w14:textId="77777777" w:rsidR="008B38AF" w:rsidRDefault="008B38AF" w:rsidP="008B38AF">
      <w:pPr>
        <w:spacing w:line="360" w:lineRule="auto"/>
        <w:jc w:val="both"/>
        <w:rPr>
          <w:rFonts w:ascii="Arial" w:hAnsi="Arial"/>
          <w:sz w:val="18"/>
        </w:rPr>
      </w:pPr>
      <w:r w:rsidRPr="00F3203B">
        <w:rPr>
          <w:rFonts w:ascii="Arial" w:hAnsi="Arial"/>
          <w:sz w:val="18"/>
        </w:rPr>
        <w:t>“Nos Estados Unidos, as histórias continuaram. Um dia, à espera de ser recebido por um decano da universidade, ouvi uma secretária chamar várias vezes: ‘</w:t>
      </w:r>
      <w:proofErr w:type="spellStart"/>
      <w:r w:rsidRPr="00F3203B">
        <w:rPr>
          <w:rFonts w:ascii="Arial" w:hAnsi="Arial"/>
          <w:sz w:val="18"/>
        </w:rPr>
        <w:t>Uanessaimo</w:t>
      </w:r>
      <w:proofErr w:type="spellEnd"/>
      <w:r w:rsidRPr="00F3203B">
        <w:rPr>
          <w:rFonts w:ascii="Arial" w:hAnsi="Arial"/>
          <w:sz w:val="18"/>
        </w:rPr>
        <w:t xml:space="preserve">’! Como não havia mais ninguém na sala de espera, volta-se para mim e pergunta: ‘Não é você o Mr. </w:t>
      </w:r>
      <w:proofErr w:type="spellStart"/>
      <w:r w:rsidRPr="00F3203B">
        <w:rPr>
          <w:rFonts w:ascii="Arial" w:hAnsi="Arial"/>
          <w:sz w:val="18"/>
        </w:rPr>
        <w:t>Uanessaimo</w:t>
      </w:r>
      <w:proofErr w:type="spellEnd"/>
      <w:r w:rsidRPr="00F3203B">
        <w:rPr>
          <w:rFonts w:ascii="Arial" w:hAnsi="Arial"/>
          <w:sz w:val="18"/>
        </w:rPr>
        <w:t xml:space="preserve"> </w:t>
      </w:r>
      <w:proofErr w:type="spellStart"/>
      <w:r w:rsidRPr="00F3203B">
        <w:rPr>
          <w:rFonts w:ascii="Arial" w:hAnsi="Arial"/>
          <w:sz w:val="18"/>
        </w:rPr>
        <w:t>Elmira</w:t>
      </w:r>
      <w:proofErr w:type="spellEnd"/>
      <w:r w:rsidRPr="00F3203B">
        <w:rPr>
          <w:rFonts w:ascii="Arial" w:hAnsi="Arial"/>
          <w:sz w:val="18"/>
        </w:rPr>
        <w:t xml:space="preserve"> (versão americana de Almeida?’ Olhei para ela e, de repente, ocorreu-me descodificar naquela pronúncia a leitura de </w:t>
      </w:r>
      <w:proofErr w:type="spellStart"/>
      <w:r w:rsidRPr="00F3203B">
        <w:rPr>
          <w:rFonts w:ascii="Arial" w:hAnsi="Arial"/>
          <w:sz w:val="18"/>
        </w:rPr>
        <w:t>Onesimo</w:t>
      </w:r>
      <w:proofErr w:type="spellEnd"/>
      <w:r w:rsidRPr="00F3203B">
        <w:rPr>
          <w:rFonts w:ascii="Arial" w:hAnsi="Arial"/>
          <w:sz w:val="18"/>
        </w:rPr>
        <w:t>, que as máquinas americanas despojavam do acento. [..</w:t>
      </w:r>
      <w:proofErr w:type="gramStart"/>
      <w:r w:rsidRPr="00F3203B">
        <w:rPr>
          <w:rFonts w:ascii="Arial" w:hAnsi="Arial"/>
          <w:sz w:val="18"/>
        </w:rPr>
        <w:t>.]</w:t>
      </w:r>
      <w:proofErr w:type="gramEnd"/>
      <w:r w:rsidRPr="00F3203B">
        <w:rPr>
          <w:rFonts w:ascii="Arial" w:hAnsi="Arial"/>
          <w:sz w:val="18"/>
        </w:rPr>
        <w:t>”.</w:t>
      </w:r>
    </w:p>
    <w:p w14:paraId="1B07AEBB" w14:textId="77777777" w:rsidR="008B38AF" w:rsidRPr="00F3203B" w:rsidRDefault="008B38AF" w:rsidP="008B38AF">
      <w:pPr>
        <w:spacing w:line="360" w:lineRule="auto"/>
        <w:jc w:val="both"/>
        <w:rPr>
          <w:rFonts w:ascii="Arial" w:hAnsi="Arial"/>
          <w:sz w:val="18"/>
        </w:rPr>
      </w:pPr>
    </w:p>
    <w:p w14:paraId="10C6EDEA" w14:textId="77777777" w:rsidR="008B38AF" w:rsidRDefault="008B38AF" w:rsidP="008B38AF">
      <w:pPr>
        <w:spacing w:line="360" w:lineRule="auto"/>
        <w:jc w:val="both"/>
        <w:rPr>
          <w:rFonts w:ascii="Arial" w:hAnsi="Arial"/>
          <w:sz w:val="20"/>
        </w:rPr>
      </w:pPr>
      <w:r w:rsidRPr="00306B5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 w:rsidRPr="00306B51">
        <w:rPr>
          <w:rFonts w:ascii="Arial" w:hAnsi="Arial"/>
          <w:sz w:val="20"/>
        </w:rPr>
        <w:t xml:space="preserve">Fazendo apelo, ainda neste contexto, ao caráter estruturador ou aglutinador do ensaio, não deixou de se introduzir esse metatexto que é “A Ilha” de Urbano Bettencourt, incidindo na produção de alguns escritores açorianos contemporâneos: se, mediante o ensaio supracitado, </w:t>
      </w:r>
      <w:r>
        <w:rPr>
          <w:rFonts w:ascii="Arial" w:hAnsi="Arial"/>
          <w:sz w:val="20"/>
        </w:rPr>
        <w:t>a</w:t>
      </w:r>
      <w:r w:rsidRPr="00306B51">
        <w:rPr>
          <w:rFonts w:ascii="Arial" w:hAnsi="Arial"/>
          <w:sz w:val="20"/>
        </w:rPr>
        <w:t>o leitor não incauto</w:t>
      </w:r>
      <w:r>
        <w:rPr>
          <w:rFonts w:ascii="Arial" w:hAnsi="Arial"/>
          <w:sz w:val="20"/>
        </w:rPr>
        <w:t>, mas talvez neófito, é dado verificar</w:t>
      </w:r>
      <w:r w:rsidRPr="00306B51">
        <w:rPr>
          <w:rFonts w:ascii="Arial" w:hAnsi="Arial"/>
          <w:sz w:val="20"/>
        </w:rPr>
        <w:t xml:space="preserve"> que Onésimo Teotónio </w:t>
      </w:r>
      <w:r>
        <w:rPr>
          <w:rFonts w:ascii="Arial" w:hAnsi="Arial"/>
          <w:sz w:val="20"/>
        </w:rPr>
        <w:t xml:space="preserve">de </w:t>
      </w:r>
      <w:r w:rsidRPr="00306B51">
        <w:rPr>
          <w:rFonts w:ascii="Arial" w:hAnsi="Arial"/>
          <w:sz w:val="20"/>
        </w:rPr>
        <w:t>Almeida, a par de Manuel Ferreira Duarte e José Francisco Costa, “</w:t>
      </w:r>
      <w:proofErr w:type="spellStart"/>
      <w:proofErr w:type="gramStart"/>
      <w:r w:rsidRPr="00306B51">
        <w:rPr>
          <w:rFonts w:ascii="Arial" w:hAnsi="Arial"/>
          <w:sz w:val="20"/>
        </w:rPr>
        <w:t>escreve(m</w:t>
      </w:r>
      <w:proofErr w:type="spellEnd"/>
      <w:proofErr w:type="gramEnd"/>
      <w:r w:rsidRPr="00306B51">
        <w:rPr>
          <w:rFonts w:ascii="Arial" w:hAnsi="Arial"/>
          <w:sz w:val="20"/>
        </w:rPr>
        <w:t>) a emigração a partir de dentro e da visão que sua própria experiência lhes proporcionou” (</w:t>
      </w:r>
      <w:r>
        <w:rPr>
          <w:rFonts w:ascii="Arial" w:hAnsi="Arial"/>
          <w:sz w:val="20"/>
        </w:rPr>
        <w:t xml:space="preserve">2011: </w:t>
      </w:r>
      <w:r w:rsidRPr="00306B51">
        <w:rPr>
          <w:rFonts w:ascii="Arial" w:hAnsi="Arial"/>
          <w:sz w:val="20"/>
        </w:rPr>
        <w:t>199), a leitura de</w:t>
      </w:r>
      <w:r>
        <w:rPr>
          <w:rFonts w:ascii="Arial" w:hAnsi="Arial"/>
          <w:sz w:val="20"/>
        </w:rPr>
        <w:t xml:space="preserve"> “Que nome é esse, ó Nézimo?”</w:t>
      </w:r>
      <w:r w:rsidRPr="00306B5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mais não virá do que corroborar o estatuto de “excelente poeta” que é Urbano Bettencourt.</w:t>
      </w:r>
    </w:p>
    <w:p w14:paraId="3AA1E367" w14:textId="77777777" w:rsidR="008B38AF" w:rsidRDefault="008B38AF" w:rsidP="008B38AF">
      <w:pPr>
        <w:spacing w:line="360" w:lineRule="auto"/>
        <w:jc w:val="both"/>
        <w:rPr>
          <w:rFonts w:ascii="Arial" w:hAnsi="Arial"/>
          <w:sz w:val="20"/>
        </w:rPr>
      </w:pPr>
    </w:p>
    <w:p w14:paraId="6F9DC580" w14:textId="77777777" w:rsidR="008B38AF" w:rsidRDefault="008B38AF" w:rsidP="008B38AF">
      <w:pPr>
        <w:spacing w:line="360" w:lineRule="auto"/>
        <w:jc w:val="both"/>
        <w:rPr>
          <w:rFonts w:ascii="Arial" w:hAnsi="Arial"/>
          <w:sz w:val="18"/>
        </w:rPr>
      </w:pPr>
      <w:r w:rsidRPr="004B707F">
        <w:rPr>
          <w:rFonts w:ascii="Arial" w:hAnsi="Arial"/>
          <w:sz w:val="18"/>
        </w:rPr>
        <w:t>“Em Ponta Delgada, vou a casa do meu amigo e excelente poeta Urbano Bettencourt. A filhinha pergunta-lhe: ‘Ó pai, este é que é o Vitorino Onésimo?’” (2011: 183).</w:t>
      </w:r>
    </w:p>
    <w:p w14:paraId="12AEAC99" w14:textId="77777777" w:rsidR="008B38AF" w:rsidRDefault="008B38AF" w:rsidP="008B38AF">
      <w:pPr>
        <w:spacing w:line="360" w:lineRule="auto"/>
        <w:jc w:val="both"/>
        <w:rPr>
          <w:rFonts w:ascii="Arial" w:hAnsi="Arial"/>
          <w:sz w:val="18"/>
        </w:rPr>
      </w:pPr>
    </w:p>
    <w:p w14:paraId="52202F0A" w14:textId="77777777" w:rsidR="008B38AF" w:rsidRDefault="008B38AF" w:rsidP="008B38AF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18"/>
        </w:rPr>
        <w:tab/>
      </w:r>
      <w:r w:rsidRPr="00810498">
        <w:rPr>
          <w:rFonts w:ascii="Arial" w:hAnsi="Arial"/>
          <w:sz w:val="20"/>
        </w:rPr>
        <w:t>Como</w:t>
      </w:r>
      <w:r>
        <w:rPr>
          <w:rFonts w:ascii="Arial" w:hAnsi="Arial"/>
          <w:sz w:val="20"/>
        </w:rPr>
        <w:t xml:space="preserve"> parece ser óbvio, os textos foram selecionados em função quer de uma temática à qual parece ser alheia a açorianidade (veja-se, por exemplo, “Estória de Natal” e </w:t>
      </w:r>
      <w:r w:rsidRPr="00926018">
        <w:rPr>
          <w:rFonts w:ascii="Arial" w:hAnsi="Arial"/>
          <w:i/>
          <w:sz w:val="20"/>
        </w:rPr>
        <w:t>O pastor das casas mortas</w:t>
      </w:r>
      <w:r>
        <w:rPr>
          <w:rFonts w:ascii="Arial" w:hAnsi="Arial"/>
          <w:sz w:val="20"/>
        </w:rPr>
        <w:t xml:space="preserve">), quer do discurso da açorianidade ou, mais bem dito, das açorianidades, englobando certas </w:t>
      </w:r>
      <w:r w:rsidRPr="00B1328A">
        <w:rPr>
          <w:rFonts w:ascii="Arial" w:hAnsi="Arial"/>
          <w:sz w:val="20"/>
        </w:rPr>
        <w:t>caract</w:t>
      </w:r>
      <w:r>
        <w:rPr>
          <w:rFonts w:ascii="Arial" w:hAnsi="Arial"/>
          <w:sz w:val="20"/>
        </w:rPr>
        <w:t>erísticas idiossincráticas que o</w:t>
      </w:r>
      <w:r w:rsidRPr="00B1328A">
        <w:rPr>
          <w:rFonts w:ascii="Arial" w:hAnsi="Arial"/>
          <w:sz w:val="20"/>
        </w:rPr>
        <w:t xml:space="preserve"> diferenciam, como, por exemplo, o imaginário dinâmico do ilhéu, confinado ao isolamento e à insularidade, imbuído de um sentimento inegável de religiosidade popular e bipartido, em termos de sonho emigratório, entre o anelo da partida e o desejo do regresso (mesmo se </w:t>
      </w:r>
      <w:proofErr w:type="gramStart"/>
      <w:r w:rsidRPr="00B1328A">
        <w:rPr>
          <w:rFonts w:ascii="Arial" w:hAnsi="Arial"/>
          <w:sz w:val="20"/>
        </w:rPr>
        <w:t>a  ‘largada’</w:t>
      </w:r>
      <w:proofErr w:type="gramEnd"/>
      <w:r w:rsidRPr="00B1328A">
        <w:rPr>
          <w:rFonts w:ascii="Arial" w:hAnsi="Arial"/>
          <w:sz w:val="20"/>
        </w:rPr>
        <w:t xml:space="preserve"> só interiormente, no </w:t>
      </w:r>
      <w:proofErr w:type="spellStart"/>
      <w:r w:rsidRPr="00B1328A">
        <w:rPr>
          <w:rFonts w:ascii="Arial" w:hAnsi="Arial"/>
          <w:sz w:val="20"/>
        </w:rPr>
        <w:t>imo</w:t>
      </w:r>
      <w:proofErr w:type="spellEnd"/>
      <w:r w:rsidRPr="00B1328A">
        <w:rPr>
          <w:rFonts w:ascii="Arial" w:hAnsi="Arial"/>
          <w:sz w:val="20"/>
        </w:rPr>
        <w:t>, se concretizou).</w:t>
      </w:r>
      <w:r>
        <w:rPr>
          <w:rFonts w:ascii="Arial" w:hAnsi="Arial"/>
          <w:sz w:val="20"/>
        </w:rPr>
        <w:t xml:space="preserve"> Nesta conjuntura, procurou-se delinear uma ‘esquadria’ de veios isotópicos e linhas temáticas, começando pela escrita da terra e do mar. Advindo deste epicentro do ‘fenómeno’ literário açoriano, o discurso da insularidade e do isolamento não poderia ser secundarizado: se, por um lado, o cárcere metaforiza a Ilha, por outro torna-se o ilhéu, ao interiorizar o espaço natal e ao deleitar-se e infernizar-se, masoquista, com a sua ‘</w:t>
      </w:r>
      <w:proofErr w:type="spellStart"/>
      <w:r w:rsidRPr="00E60718">
        <w:rPr>
          <w:rFonts w:ascii="Arial" w:hAnsi="Arial"/>
          <w:i/>
          <w:sz w:val="20"/>
        </w:rPr>
        <w:t>insula</w:t>
      </w:r>
      <w:r>
        <w:rPr>
          <w:rFonts w:ascii="Arial" w:hAnsi="Arial"/>
          <w:sz w:val="20"/>
        </w:rPr>
        <w:t>-dependência</w:t>
      </w:r>
      <w:proofErr w:type="spellEnd"/>
      <w:r>
        <w:rPr>
          <w:rFonts w:ascii="Arial" w:hAnsi="Arial"/>
          <w:sz w:val="20"/>
        </w:rPr>
        <w:t xml:space="preserve">’, símbolo dessa prisão insular: </w:t>
      </w:r>
      <w:proofErr w:type="spellStart"/>
      <w:r w:rsidRPr="00E60718">
        <w:rPr>
          <w:rFonts w:ascii="Arial" w:hAnsi="Arial"/>
          <w:i/>
          <w:sz w:val="20"/>
        </w:rPr>
        <w:t>homem-ilha</w:t>
      </w:r>
      <w:proofErr w:type="spellEnd"/>
      <w:r>
        <w:rPr>
          <w:rFonts w:ascii="Arial" w:hAnsi="Arial"/>
          <w:sz w:val="20"/>
        </w:rPr>
        <w:t>. Assim sendo, enquanto Valdemiro, personagem de Eduardo Bettencourt Pinto, sente agudamente a ligação umbilical ao mar, Armando, personagem de Fernando Aires, questiona-se sobre o seu aprisionamento geográfico e ontológico.</w:t>
      </w:r>
    </w:p>
    <w:p w14:paraId="37B97B15" w14:textId="77777777" w:rsidR="008B38AF" w:rsidRDefault="008B38AF" w:rsidP="008B38AF">
      <w:pPr>
        <w:spacing w:line="360" w:lineRule="auto"/>
        <w:jc w:val="both"/>
        <w:rPr>
          <w:rFonts w:ascii="Arial" w:hAnsi="Arial"/>
          <w:sz w:val="20"/>
        </w:rPr>
      </w:pPr>
    </w:p>
    <w:p w14:paraId="61B3B669" w14:textId="77777777" w:rsidR="008B38AF" w:rsidRPr="001867F9" w:rsidRDefault="008B38AF" w:rsidP="008B38AF">
      <w:pPr>
        <w:spacing w:line="360" w:lineRule="auto"/>
        <w:jc w:val="both"/>
        <w:rPr>
          <w:rFonts w:ascii="Arial" w:hAnsi="Arial"/>
          <w:sz w:val="18"/>
        </w:rPr>
      </w:pPr>
      <w:r w:rsidRPr="001867F9">
        <w:rPr>
          <w:rFonts w:ascii="Arial" w:hAnsi="Arial"/>
          <w:sz w:val="18"/>
        </w:rPr>
        <w:t xml:space="preserve">“De súbito sobrevinha-lhe aquela ligação íntima com a ilha, um amor rasgado de ausências, os milhentos lenços brancos acenando na memória. Sabia que nunca ousaria desligar-se daquele mar que lhe falava tão de perto, daqueles odores da terra que lhe recebiam os passos como um deus perdido no destino do vento.” (2011: 63). </w:t>
      </w:r>
    </w:p>
    <w:p w14:paraId="4669B58F" w14:textId="77777777" w:rsidR="008B38AF" w:rsidRDefault="008B38AF" w:rsidP="008B38AF">
      <w:pPr>
        <w:spacing w:line="360" w:lineRule="auto"/>
        <w:jc w:val="both"/>
        <w:rPr>
          <w:rFonts w:ascii="Arial" w:hAnsi="Arial"/>
          <w:sz w:val="18"/>
        </w:rPr>
      </w:pPr>
      <w:r w:rsidRPr="001867F9">
        <w:rPr>
          <w:rFonts w:ascii="Arial" w:hAnsi="Arial"/>
          <w:sz w:val="18"/>
        </w:rPr>
        <w:t>“O vício de preferir estar onde não estava, de apetecer o que não tinha. Prisioneiro de si. Prisioneiro da Ilha.” (2011: 131).</w:t>
      </w:r>
    </w:p>
    <w:p w14:paraId="6066F980" w14:textId="77777777" w:rsidR="008B38AF" w:rsidRPr="001867F9" w:rsidRDefault="008B38AF" w:rsidP="008B38AF">
      <w:pPr>
        <w:spacing w:line="360" w:lineRule="auto"/>
        <w:jc w:val="both"/>
        <w:rPr>
          <w:rFonts w:ascii="Arial" w:hAnsi="Arial"/>
          <w:sz w:val="18"/>
        </w:rPr>
      </w:pPr>
    </w:p>
    <w:p w14:paraId="697E996F" w14:textId="77777777" w:rsidR="008B38AF" w:rsidRDefault="008B38AF" w:rsidP="008B38AF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 como, na ótica de Maria de Fátima Borges, “A ligeireza com que se sai de uma pequena ilha é igual à facilidade com que nela se entra, mesmo quando apenas o mar era o caminho e o passaporte.” (2011: 161), a diáspora - traduzida pela </w:t>
      </w:r>
      <w:proofErr w:type="spellStart"/>
      <w:r>
        <w:rPr>
          <w:rFonts w:ascii="Arial" w:hAnsi="Arial"/>
          <w:sz w:val="20"/>
        </w:rPr>
        <w:t>pré-largada</w:t>
      </w:r>
      <w:proofErr w:type="spellEnd"/>
      <w:r>
        <w:rPr>
          <w:rFonts w:ascii="Arial" w:hAnsi="Arial"/>
          <w:sz w:val="20"/>
        </w:rPr>
        <w:t xml:space="preserve">, ato de partir e apoteose do retorno - revela-se </w:t>
      </w:r>
      <w:proofErr w:type="gramStart"/>
      <w:r>
        <w:rPr>
          <w:rFonts w:ascii="Arial" w:hAnsi="Arial"/>
          <w:sz w:val="20"/>
        </w:rPr>
        <w:t>não refrigério</w:t>
      </w:r>
      <w:proofErr w:type="gramEnd"/>
      <w:r>
        <w:rPr>
          <w:rFonts w:ascii="Arial" w:hAnsi="Arial"/>
          <w:sz w:val="20"/>
        </w:rPr>
        <w:t xml:space="preserve"> ou paliativo, mas recurso definitivo ou derradeira solução. Daí a “</w:t>
      </w:r>
      <w:proofErr w:type="gramStart"/>
      <w:r>
        <w:rPr>
          <w:rFonts w:ascii="Arial" w:hAnsi="Arial"/>
          <w:sz w:val="20"/>
        </w:rPr>
        <w:t>L(USA</w:t>
      </w:r>
      <w:proofErr w:type="gramEnd"/>
      <w:r>
        <w:rPr>
          <w:rFonts w:ascii="Arial" w:hAnsi="Arial"/>
          <w:sz w:val="20"/>
        </w:rPr>
        <w:t>)</w:t>
      </w:r>
      <w:proofErr w:type="spellStart"/>
      <w:r>
        <w:rPr>
          <w:rFonts w:ascii="Arial" w:hAnsi="Arial"/>
          <w:sz w:val="20"/>
        </w:rPr>
        <w:t>LÂNDIA</w:t>
      </w:r>
      <w:proofErr w:type="spellEnd"/>
      <w:r>
        <w:rPr>
          <w:rFonts w:ascii="Arial" w:hAnsi="Arial"/>
          <w:sz w:val="20"/>
        </w:rPr>
        <w:t>” de Onésimo, carreando uma ‘</w:t>
      </w:r>
      <w:proofErr w:type="spellStart"/>
      <w:r>
        <w:rPr>
          <w:rFonts w:ascii="Arial" w:hAnsi="Arial"/>
          <w:sz w:val="20"/>
        </w:rPr>
        <w:t>Açorialândia</w:t>
      </w:r>
      <w:proofErr w:type="spellEnd"/>
      <w:r>
        <w:rPr>
          <w:rFonts w:ascii="Arial" w:hAnsi="Arial"/>
          <w:sz w:val="20"/>
        </w:rPr>
        <w:t>’ de nostalgia, ritmada pelas ‘</w:t>
      </w:r>
      <w:proofErr w:type="spellStart"/>
      <w:r>
        <w:rPr>
          <w:rFonts w:ascii="Arial" w:hAnsi="Arial"/>
          <w:sz w:val="20"/>
        </w:rPr>
        <w:t>vivaldianas</w:t>
      </w:r>
      <w:proofErr w:type="spellEnd"/>
      <w:r>
        <w:rPr>
          <w:rFonts w:ascii="Arial" w:hAnsi="Arial"/>
          <w:sz w:val="20"/>
        </w:rPr>
        <w:t>’ “Quatro Estações” de Emanuel Félix e firmada no “Poema de saudade ardente” de Marcolino Candeias.</w:t>
      </w:r>
    </w:p>
    <w:p w14:paraId="38D133C8" w14:textId="77777777" w:rsidR="008B38AF" w:rsidRDefault="008B38AF" w:rsidP="008B38AF">
      <w:pPr>
        <w:spacing w:line="360" w:lineRule="auto"/>
        <w:jc w:val="both"/>
        <w:rPr>
          <w:rFonts w:ascii="Arial" w:hAnsi="Arial"/>
          <w:sz w:val="20"/>
        </w:rPr>
      </w:pPr>
    </w:p>
    <w:p w14:paraId="4CBC4E2E" w14:textId="77777777" w:rsidR="008B38AF" w:rsidRPr="001867F9" w:rsidRDefault="008B38AF" w:rsidP="008B38AF">
      <w:pPr>
        <w:spacing w:line="360" w:lineRule="auto"/>
        <w:jc w:val="both"/>
        <w:rPr>
          <w:rFonts w:ascii="Arial" w:hAnsi="Arial"/>
          <w:sz w:val="18"/>
        </w:rPr>
      </w:pPr>
      <w:proofErr w:type="gramStart"/>
      <w:r w:rsidRPr="001867F9">
        <w:rPr>
          <w:rFonts w:ascii="Arial" w:hAnsi="Arial"/>
          <w:sz w:val="18"/>
        </w:rPr>
        <w:t>“[...</w:t>
      </w:r>
      <w:proofErr w:type="gramEnd"/>
      <w:r w:rsidRPr="001867F9">
        <w:rPr>
          <w:rFonts w:ascii="Arial" w:hAnsi="Arial"/>
          <w:sz w:val="18"/>
        </w:rPr>
        <w:t>] Quero sufocar a mão fechada deste quarto</w:t>
      </w:r>
    </w:p>
    <w:p w14:paraId="6F102256" w14:textId="77777777" w:rsidR="008B38AF" w:rsidRPr="001867F9" w:rsidRDefault="008B38AF" w:rsidP="008B38AF">
      <w:pPr>
        <w:spacing w:line="360" w:lineRule="auto"/>
        <w:jc w:val="both"/>
        <w:rPr>
          <w:rFonts w:ascii="Arial" w:hAnsi="Arial"/>
          <w:sz w:val="18"/>
        </w:rPr>
      </w:pPr>
      <w:r w:rsidRPr="001867F9">
        <w:rPr>
          <w:rFonts w:ascii="Arial" w:hAnsi="Arial"/>
          <w:sz w:val="18"/>
        </w:rPr>
        <w:t xml:space="preserve">no fumo ausente de </w:t>
      </w:r>
      <w:proofErr w:type="gramStart"/>
      <w:r w:rsidRPr="001867F9">
        <w:rPr>
          <w:rFonts w:ascii="Arial" w:hAnsi="Arial"/>
          <w:sz w:val="18"/>
        </w:rPr>
        <w:t>meu</w:t>
      </w:r>
      <w:proofErr w:type="gramEnd"/>
      <w:r w:rsidRPr="001867F9">
        <w:rPr>
          <w:rFonts w:ascii="Arial" w:hAnsi="Arial"/>
          <w:sz w:val="18"/>
        </w:rPr>
        <w:t xml:space="preserve"> cigarro tonto</w:t>
      </w:r>
    </w:p>
    <w:p w14:paraId="59021F19" w14:textId="77777777" w:rsidR="008B38AF" w:rsidRDefault="008B38AF" w:rsidP="008B38AF">
      <w:pPr>
        <w:spacing w:line="360" w:lineRule="auto"/>
        <w:jc w:val="both"/>
        <w:rPr>
          <w:rFonts w:ascii="Arial" w:hAnsi="Arial"/>
          <w:sz w:val="18"/>
        </w:rPr>
      </w:pPr>
      <w:r w:rsidRPr="001867F9">
        <w:rPr>
          <w:rFonts w:ascii="Arial" w:hAnsi="Arial"/>
          <w:sz w:val="18"/>
        </w:rPr>
        <w:t>como se estivesse em Angra no café dizendo palavras rolando em espirais [..</w:t>
      </w:r>
      <w:proofErr w:type="gramStart"/>
      <w:r w:rsidRPr="001867F9">
        <w:rPr>
          <w:rFonts w:ascii="Arial" w:hAnsi="Arial"/>
          <w:sz w:val="18"/>
        </w:rPr>
        <w:t>.]</w:t>
      </w:r>
      <w:proofErr w:type="gramEnd"/>
      <w:r w:rsidRPr="001867F9">
        <w:rPr>
          <w:rFonts w:ascii="Arial" w:hAnsi="Arial"/>
          <w:sz w:val="18"/>
        </w:rPr>
        <w:t>” (2011: 151).</w:t>
      </w:r>
    </w:p>
    <w:p w14:paraId="416FE49D" w14:textId="77777777" w:rsidR="008B38AF" w:rsidRPr="001867F9" w:rsidRDefault="008B38AF" w:rsidP="008B38AF">
      <w:pPr>
        <w:spacing w:line="360" w:lineRule="auto"/>
        <w:jc w:val="both"/>
        <w:rPr>
          <w:rFonts w:ascii="Arial" w:hAnsi="Arial"/>
          <w:sz w:val="18"/>
        </w:rPr>
      </w:pPr>
    </w:p>
    <w:p w14:paraId="7CA22F67" w14:textId="77777777" w:rsidR="008B38AF" w:rsidRDefault="008B38AF" w:rsidP="008B38AF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Ainda neste contexto, foi voluntariamente que se trouxe à liça a sempiterna e controversa questão da nomenclatura: literatura açoriana, como sugere Onésimo? Ou literatura portuguesa de significação e matriz açoriana, como advogam determinados críticos? Não interpretando o complemente determinativo posposto em termos de redução constrangedora ou </w:t>
      </w:r>
      <w:proofErr w:type="gramStart"/>
      <w:r>
        <w:rPr>
          <w:rFonts w:ascii="Arial" w:hAnsi="Arial"/>
          <w:sz w:val="20"/>
        </w:rPr>
        <w:t>de  afunilamento</w:t>
      </w:r>
      <w:proofErr w:type="gramEnd"/>
      <w:r>
        <w:rPr>
          <w:rFonts w:ascii="Arial" w:hAnsi="Arial"/>
          <w:sz w:val="20"/>
        </w:rPr>
        <w:t xml:space="preserve"> depreciativo (note-se que a temática açoriana acresce à temática da literatura portuguesa, complementando-a...), mas como enriquecimento óbvio e amplificação universalizante, tomou-se a resolução de preterir a especificidade da literatura (suscetível de ser definida como objeto estético e construção intertextual e autorreflexiva, detendo funções que sustentam o seu caráter paradoxal) em proveito dos seus </w:t>
      </w:r>
      <w:proofErr w:type="spellStart"/>
      <w:r>
        <w:rPr>
          <w:rFonts w:ascii="Arial" w:hAnsi="Arial"/>
          <w:sz w:val="20"/>
        </w:rPr>
        <w:t>artesãos/Autores</w:t>
      </w:r>
      <w:proofErr w:type="spellEnd"/>
      <w:r>
        <w:rPr>
          <w:rFonts w:ascii="Arial" w:hAnsi="Arial"/>
          <w:sz w:val="20"/>
        </w:rPr>
        <w:t>, bem como dos seus ‘</w:t>
      </w:r>
      <w:proofErr w:type="spellStart"/>
      <w:r>
        <w:rPr>
          <w:rFonts w:ascii="Arial" w:hAnsi="Arial"/>
          <w:sz w:val="20"/>
        </w:rPr>
        <w:t>artefactos’/produtos</w:t>
      </w:r>
      <w:proofErr w:type="spellEnd"/>
      <w:r>
        <w:rPr>
          <w:rFonts w:ascii="Arial" w:hAnsi="Arial"/>
          <w:sz w:val="20"/>
        </w:rPr>
        <w:t xml:space="preserve"> textuais, E, em vez de traçar a história da literatura que viu a luz no Arquipélago, recuando a Gaspar Frutuoso ou começando por Vitorino Nemésio, transitando para a prosa fantástica de Carlos Wallenstein ou para o estilo inconfundível de Natália Correia e terminando tal ‘digressão turística’ com os mais lídimos representantes da “Geração da Horta”, privilegiou-se a ‘Geração Glacial’, cujos membros (e membros afins...) publicavam no “Suplemento Cultural das Artes e Letras” </w:t>
      </w:r>
      <w:r w:rsidRPr="006C41E8">
        <w:rPr>
          <w:rFonts w:ascii="Arial" w:hAnsi="Arial"/>
          <w:i/>
          <w:sz w:val="20"/>
        </w:rPr>
        <w:t>Glacial</w:t>
      </w:r>
      <w:r>
        <w:rPr>
          <w:rFonts w:ascii="Arial" w:hAnsi="Arial"/>
          <w:sz w:val="20"/>
        </w:rPr>
        <w:t xml:space="preserve">, nas páginas do jornal </w:t>
      </w:r>
      <w:r w:rsidRPr="006C41E8">
        <w:rPr>
          <w:rFonts w:ascii="Arial" w:hAnsi="Arial"/>
          <w:i/>
          <w:sz w:val="20"/>
        </w:rPr>
        <w:t>A União</w:t>
      </w:r>
      <w:r>
        <w:rPr>
          <w:rFonts w:ascii="Arial" w:hAnsi="Arial"/>
          <w:sz w:val="20"/>
        </w:rPr>
        <w:t xml:space="preserve"> de Angra. Não parece despiciendo citar, a este respeito, João de Melo: “ Numa altura em que o fascismo despertava na juventude açoriana interrogações e traumatismos de toda a ordem, [...] nasce uma consciência </w:t>
      </w:r>
      <w:r w:rsidR="00BB4A64">
        <w:rPr>
          <w:rFonts w:ascii="Arial" w:hAnsi="Arial"/>
          <w:sz w:val="20"/>
        </w:rPr>
        <w:t>coletiva</w:t>
      </w:r>
      <w:r>
        <w:rPr>
          <w:rFonts w:ascii="Arial" w:hAnsi="Arial"/>
          <w:sz w:val="20"/>
        </w:rPr>
        <w:t xml:space="preserve"> que se expressa no poema e no conto, [...] tendo como ponto de partida um </w:t>
      </w:r>
      <w:r w:rsidR="00BB4A64">
        <w:rPr>
          <w:rFonts w:ascii="Arial" w:hAnsi="Arial"/>
          <w:sz w:val="20"/>
        </w:rPr>
        <w:t>projeto</w:t>
      </w:r>
      <w:r>
        <w:rPr>
          <w:rFonts w:ascii="Arial" w:hAnsi="Arial"/>
          <w:sz w:val="20"/>
        </w:rPr>
        <w:t xml:space="preserve"> que desde logo se afirma pelo desbloqueio das estruturas decrépitas da cultura insular. [...] Não se limitando a produzir e a publicar apenas na base do suplemento, em breve se transforma num movimento de intervenção cultural que ora promove a edição individual ou </w:t>
      </w:r>
      <w:r w:rsidR="00BB4A64">
        <w:rPr>
          <w:rFonts w:ascii="Arial" w:hAnsi="Arial"/>
          <w:sz w:val="20"/>
        </w:rPr>
        <w:t>coletiva</w:t>
      </w:r>
      <w:r>
        <w:rPr>
          <w:rFonts w:ascii="Arial" w:hAnsi="Arial"/>
          <w:sz w:val="20"/>
        </w:rPr>
        <w:t xml:space="preserve"> [...] ora leva a efeito iniciativas culturais [..</w:t>
      </w:r>
      <w:proofErr w:type="gramStart"/>
      <w:r>
        <w:rPr>
          <w:rFonts w:ascii="Arial" w:hAnsi="Arial"/>
          <w:sz w:val="20"/>
        </w:rPr>
        <w:t>.]</w:t>
      </w:r>
      <w:proofErr w:type="gramEnd"/>
      <w:r>
        <w:rPr>
          <w:rFonts w:ascii="Arial" w:hAnsi="Arial"/>
          <w:sz w:val="20"/>
        </w:rPr>
        <w:t>” (</w:t>
      </w:r>
      <w:r w:rsidRPr="006C41E8">
        <w:rPr>
          <w:rFonts w:ascii="Arial" w:hAnsi="Arial"/>
          <w:i/>
          <w:sz w:val="20"/>
        </w:rPr>
        <w:t>Antologia panorâmica do conto açoriano. Séculos XIX e XX</w:t>
      </w:r>
      <w:r>
        <w:rPr>
          <w:rFonts w:ascii="Arial" w:hAnsi="Arial"/>
          <w:sz w:val="20"/>
        </w:rPr>
        <w:t>. Lisboa, Editorial Vega, 1978, p. 24).</w:t>
      </w:r>
    </w:p>
    <w:p w14:paraId="7501707C" w14:textId="77777777" w:rsidR="008B38AF" w:rsidRDefault="008B38AF" w:rsidP="008B38AF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No seio desta plêiade, um Autor, Emanuel de Sousa, mereceu particular relevo: por um lado, a inegável qualidade dos seus versos coligidos em </w:t>
      </w:r>
      <w:r w:rsidRPr="00E60718">
        <w:rPr>
          <w:rFonts w:ascii="Arial" w:hAnsi="Arial"/>
          <w:i/>
          <w:sz w:val="20"/>
        </w:rPr>
        <w:t>Eurídice</w:t>
      </w:r>
      <w:r>
        <w:rPr>
          <w:rFonts w:ascii="Arial" w:hAnsi="Arial"/>
          <w:sz w:val="20"/>
        </w:rPr>
        <w:t xml:space="preserve"> e </w:t>
      </w:r>
      <w:r w:rsidRPr="00E60718">
        <w:rPr>
          <w:rFonts w:ascii="Arial" w:hAnsi="Arial"/>
          <w:i/>
          <w:sz w:val="20"/>
        </w:rPr>
        <w:t>Ariadne</w:t>
      </w:r>
      <w:r>
        <w:rPr>
          <w:rFonts w:ascii="Arial" w:hAnsi="Arial"/>
          <w:sz w:val="20"/>
        </w:rPr>
        <w:t xml:space="preserve">, com data de 1989 e 1999, respetivamente; por outro, a total ausência de quaisquer elementos biobibliográficos suscetíveis de servirem de suporte a um curto texto de apresentação. Apesar das diligências efetuadas em terras açorianas e americanas, de contactos estabelecidos por telefone (números desativados) ou demais endereços (moradas desatualizadas) e de solicitações à “Quetzal Editores” (que alertou para a mudança de </w:t>
      </w:r>
      <w:proofErr w:type="gramStart"/>
      <w:r>
        <w:rPr>
          <w:rFonts w:ascii="Arial" w:hAnsi="Arial"/>
          <w:sz w:val="20"/>
        </w:rPr>
        <w:t>gerência  e</w:t>
      </w:r>
      <w:proofErr w:type="gramEnd"/>
      <w:r>
        <w:rPr>
          <w:rFonts w:ascii="Arial" w:hAnsi="Arial"/>
          <w:sz w:val="20"/>
        </w:rPr>
        <w:t xml:space="preserve"> para os longos doze anos decorridos sobre a última publicação), deparou-se tão-somente com o vazio, que se espera vir a ser, mais cedo ou mais tarde, colmatado. Do estro deste Poeta ‘gráfico’, ilustre desconhecido, prefaciado por Natália Correia, testemunha o seguinte fragmento poético:</w:t>
      </w:r>
    </w:p>
    <w:p w14:paraId="53453ECE" w14:textId="77777777" w:rsidR="008B38AF" w:rsidRDefault="008B38AF" w:rsidP="008B38AF">
      <w:pPr>
        <w:spacing w:line="360" w:lineRule="auto"/>
        <w:jc w:val="both"/>
        <w:rPr>
          <w:rFonts w:ascii="Arial" w:hAnsi="Arial"/>
          <w:sz w:val="20"/>
        </w:rPr>
      </w:pPr>
    </w:p>
    <w:p w14:paraId="2287451F" w14:textId="77777777" w:rsidR="008B38AF" w:rsidRPr="008337F3" w:rsidRDefault="008B38AF" w:rsidP="008B38AF">
      <w:pPr>
        <w:spacing w:line="360" w:lineRule="auto"/>
        <w:jc w:val="both"/>
        <w:rPr>
          <w:rFonts w:ascii="Arial" w:hAnsi="Arial"/>
          <w:sz w:val="18"/>
        </w:rPr>
      </w:pPr>
      <w:r w:rsidRPr="008337F3">
        <w:rPr>
          <w:rFonts w:ascii="Arial" w:hAnsi="Arial"/>
          <w:sz w:val="18"/>
        </w:rPr>
        <w:t>“As palavras passam</w:t>
      </w:r>
    </w:p>
    <w:p w14:paraId="3A737966" w14:textId="77777777" w:rsidR="008B38AF" w:rsidRPr="008337F3" w:rsidRDefault="008B38AF" w:rsidP="008B38AF">
      <w:pPr>
        <w:spacing w:line="360" w:lineRule="auto"/>
        <w:jc w:val="both"/>
        <w:rPr>
          <w:rFonts w:ascii="Arial" w:hAnsi="Arial"/>
          <w:sz w:val="18"/>
        </w:rPr>
      </w:pPr>
      <w:r w:rsidRPr="008337F3">
        <w:rPr>
          <w:rFonts w:ascii="Arial" w:hAnsi="Arial"/>
          <w:sz w:val="18"/>
        </w:rPr>
        <w:t>por estreitos corredores.</w:t>
      </w:r>
    </w:p>
    <w:p w14:paraId="7B050E4D" w14:textId="77777777" w:rsidR="008B38AF" w:rsidRPr="008337F3" w:rsidRDefault="008B38AF" w:rsidP="008B38AF">
      <w:pPr>
        <w:spacing w:line="360" w:lineRule="auto"/>
        <w:jc w:val="both"/>
        <w:rPr>
          <w:rFonts w:ascii="Arial" w:hAnsi="Arial"/>
          <w:sz w:val="18"/>
        </w:rPr>
      </w:pPr>
      <w:r w:rsidRPr="008337F3">
        <w:rPr>
          <w:rFonts w:ascii="Arial" w:hAnsi="Arial"/>
          <w:sz w:val="18"/>
        </w:rPr>
        <w:t>sílaba a</w:t>
      </w:r>
    </w:p>
    <w:p w14:paraId="0C028E6C" w14:textId="77777777" w:rsidR="008B38AF" w:rsidRPr="008337F3" w:rsidRDefault="008B38AF" w:rsidP="008B38AF">
      <w:pPr>
        <w:spacing w:line="360" w:lineRule="auto"/>
        <w:jc w:val="both"/>
        <w:rPr>
          <w:rFonts w:ascii="Arial" w:hAnsi="Arial"/>
          <w:sz w:val="18"/>
        </w:rPr>
      </w:pPr>
      <w:r w:rsidRPr="008337F3">
        <w:rPr>
          <w:rFonts w:ascii="Arial" w:hAnsi="Arial"/>
          <w:sz w:val="18"/>
        </w:rPr>
        <w:t>sílaba. [...]</w:t>
      </w:r>
    </w:p>
    <w:p w14:paraId="591E6ED2" w14:textId="77777777" w:rsidR="008B38AF" w:rsidRPr="008337F3" w:rsidRDefault="008B38AF" w:rsidP="008B38AF">
      <w:pPr>
        <w:spacing w:line="360" w:lineRule="auto"/>
        <w:jc w:val="both"/>
        <w:rPr>
          <w:rFonts w:ascii="Arial" w:hAnsi="Arial"/>
          <w:sz w:val="18"/>
        </w:rPr>
      </w:pPr>
      <w:r w:rsidRPr="008337F3">
        <w:rPr>
          <w:rFonts w:ascii="Arial" w:hAnsi="Arial"/>
          <w:sz w:val="18"/>
        </w:rPr>
        <w:t>procuro o rosto</w:t>
      </w:r>
    </w:p>
    <w:p w14:paraId="7F8E40DB" w14:textId="77777777" w:rsidR="008B38AF" w:rsidRPr="008337F3" w:rsidRDefault="008B38AF" w:rsidP="008B38AF">
      <w:pPr>
        <w:spacing w:line="360" w:lineRule="auto"/>
        <w:jc w:val="both"/>
        <w:rPr>
          <w:rFonts w:ascii="Arial" w:hAnsi="Arial"/>
          <w:sz w:val="18"/>
        </w:rPr>
      </w:pPr>
      <w:r w:rsidRPr="008337F3">
        <w:rPr>
          <w:rFonts w:ascii="Arial" w:hAnsi="Arial"/>
          <w:sz w:val="18"/>
        </w:rPr>
        <w:t>o ventre das palavras. [...]</w:t>
      </w:r>
    </w:p>
    <w:p w14:paraId="0F5B1835" w14:textId="77777777" w:rsidR="008B38AF" w:rsidRDefault="008B38AF" w:rsidP="008B38AF">
      <w:pPr>
        <w:spacing w:line="360" w:lineRule="auto"/>
        <w:jc w:val="both"/>
        <w:rPr>
          <w:rFonts w:ascii="Arial" w:hAnsi="Arial"/>
          <w:sz w:val="18"/>
        </w:rPr>
      </w:pPr>
      <w:r w:rsidRPr="008337F3">
        <w:rPr>
          <w:rFonts w:ascii="Arial" w:hAnsi="Arial"/>
          <w:sz w:val="18"/>
        </w:rPr>
        <w:t>procuro os verões verdes na tua boca inacabada. [..</w:t>
      </w:r>
      <w:proofErr w:type="gramStart"/>
      <w:r w:rsidRPr="008337F3">
        <w:rPr>
          <w:rFonts w:ascii="Arial" w:hAnsi="Arial"/>
          <w:sz w:val="18"/>
        </w:rPr>
        <w:t>.]</w:t>
      </w:r>
      <w:proofErr w:type="gramEnd"/>
      <w:r w:rsidRPr="008337F3">
        <w:rPr>
          <w:rFonts w:ascii="Arial" w:hAnsi="Arial"/>
          <w:sz w:val="18"/>
        </w:rPr>
        <w:t>” (2011: 99).</w:t>
      </w:r>
    </w:p>
    <w:p w14:paraId="34BC6C77" w14:textId="77777777" w:rsidR="008B38AF" w:rsidRPr="008337F3" w:rsidRDefault="008B38AF" w:rsidP="008B38AF">
      <w:pPr>
        <w:spacing w:line="360" w:lineRule="auto"/>
        <w:jc w:val="both"/>
        <w:rPr>
          <w:rFonts w:ascii="Arial" w:hAnsi="Arial"/>
          <w:sz w:val="18"/>
        </w:rPr>
      </w:pPr>
    </w:p>
    <w:p w14:paraId="3B99E873" w14:textId="77777777" w:rsidR="008B38AF" w:rsidRDefault="008B38AF" w:rsidP="008B38AF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Sobre a criação artística, metonimicamente traduzida, numa etapa inicial, pela busca da palavra </w:t>
      </w:r>
      <w:proofErr w:type="spellStart"/>
      <w:r>
        <w:rPr>
          <w:rFonts w:ascii="Arial" w:hAnsi="Arial"/>
          <w:sz w:val="20"/>
        </w:rPr>
        <w:t>desdivinizada</w:t>
      </w:r>
      <w:proofErr w:type="spellEnd"/>
      <w:r>
        <w:rPr>
          <w:rFonts w:ascii="Arial" w:hAnsi="Arial"/>
          <w:sz w:val="20"/>
        </w:rPr>
        <w:t xml:space="preserve"> conducente ao Verbo divino, escreveram, igualmente, Emanuel Félix e Eduíno de Jesus: enquanto o primeiro enfatiza o sofrimento inerente à produção, queda-se o segundo no horizonte de </w:t>
      </w:r>
      <w:proofErr w:type="spellStart"/>
      <w:r>
        <w:rPr>
          <w:rFonts w:ascii="Arial" w:hAnsi="Arial"/>
          <w:sz w:val="20"/>
        </w:rPr>
        <w:t>expectativa</w:t>
      </w:r>
      <w:proofErr w:type="spellEnd"/>
      <w:r>
        <w:rPr>
          <w:rFonts w:ascii="Arial" w:hAnsi="Arial"/>
          <w:sz w:val="20"/>
        </w:rPr>
        <w:t xml:space="preserve"> que subjaz à receção estética.</w:t>
      </w:r>
    </w:p>
    <w:p w14:paraId="1A7747BD" w14:textId="77777777" w:rsidR="008B38AF" w:rsidRDefault="008B38AF" w:rsidP="008B38AF">
      <w:pPr>
        <w:spacing w:line="360" w:lineRule="auto"/>
        <w:jc w:val="both"/>
        <w:rPr>
          <w:rFonts w:ascii="Arial" w:hAnsi="Arial"/>
          <w:sz w:val="20"/>
        </w:rPr>
      </w:pPr>
    </w:p>
    <w:p w14:paraId="6D07EDD5" w14:textId="77777777" w:rsidR="008B38AF" w:rsidRPr="00CF16A2" w:rsidRDefault="008B38AF" w:rsidP="008B38AF">
      <w:pPr>
        <w:spacing w:line="360" w:lineRule="auto"/>
        <w:jc w:val="both"/>
        <w:rPr>
          <w:rFonts w:ascii="Arial" w:hAnsi="Arial"/>
          <w:sz w:val="18"/>
        </w:rPr>
      </w:pPr>
      <w:proofErr w:type="gramStart"/>
      <w:r w:rsidRPr="00CF16A2">
        <w:rPr>
          <w:rFonts w:ascii="Arial" w:hAnsi="Arial"/>
          <w:sz w:val="18"/>
        </w:rPr>
        <w:t>“[As</w:t>
      </w:r>
      <w:proofErr w:type="gramEnd"/>
      <w:r w:rsidRPr="00CF16A2">
        <w:rPr>
          <w:rFonts w:ascii="Arial" w:hAnsi="Arial"/>
          <w:sz w:val="18"/>
        </w:rPr>
        <w:t xml:space="preserve"> palavras] elas lá ficam na página branca</w:t>
      </w:r>
    </w:p>
    <w:p w14:paraId="643BEBDA" w14:textId="77777777" w:rsidR="008B38AF" w:rsidRPr="00CF16A2" w:rsidRDefault="008B38AF" w:rsidP="008B38AF">
      <w:pPr>
        <w:spacing w:line="360" w:lineRule="auto"/>
        <w:jc w:val="both"/>
        <w:rPr>
          <w:rFonts w:ascii="Arial" w:hAnsi="Arial"/>
          <w:sz w:val="18"/>
        </w:rPr>
      </w:pPr>
      <w:r w:rsidRPr="00CF16A2">
        <w:rPr>
          <w:rFonts w:ascii="Arial" w:hAnsi="Arial"/>
          <w:sz w:val="18"/>
        </w:rPr>
        <w:t>à espera de um Levanta-te e caminha</w:t>
      </w:r>
    </w:p>
    <w:p w14:paraId="69D4048D" w14:textId="77777777" w:rsidR="008B38AF" w:rsidRPr="00CF16A2" w:rsidRDefault="008B38AF" w:rsidP="008B38AF">
      <w:pPr>
        <w:spacing w:line="360" w:lineRule="auto"/>
        <w:jc w:val="both"/>
        <w:rPr>
          <w:rFonts w:ascii="Arial" w:hAnsi="Arial"/>
          <w:sz w:val="18"/>
        </w:rPr>
      </w:pPr>
      <w:r w:rsidRPr="00CF16A2">
        <w:rPr>
          <w:rFonts w:ascii="Arial" w:hAnsi="Arial"/>
          <w:sz w:val="18"/>
        </w:rPr>
        <w:t>de qualquer voz humana” (2011: 87).</w:t>
      </w:r>
    </w:p>
    <w:p w14:paraId="05BF86D1" w14:textId="77777777" w:rsidR="008B38AF" w:rsidRPr="00CF16A2" w:rsidRDefault="008B38AF" w:rsidP="008B38AF">
      <w:pPr>
        <w:spacing w:line="360" w:lineRule="auto"/>
        <w:jc w:val="both"/>
        <w:rPr>
          <w:rFonts w:ascii="Arial" w:hAnsi="Arial"/>
          <w:sz w:val="18"/>
        </w:rPr>
      </w:pPr>
      <w:r w:rsidRPr="00CF16A2">
        <w:rPr>
          <w:rFonts w:ascii="Arial" w:hAnsi="Arial"/>
          <w:sz w:val="18"/>
        </w:rPr>
        <w:t xml:space="preserve">“Com que </w:t>
      </w:r>
      <w:proofErr w:type="gramStart"/>
      <w:r w:rsidRPr="00CF16A2">
        <w:rPr>
          <w:rFonts w:ascii="Arial" w:hAnsi="Arial"/>
          <w:sz w:val="18"/>
        </w:rPr>
        <w:t>amor violentamos</w:t>
      </w:r>
      <w:proofErr w:type="gramEnd"/>
      <w:r w:rsidRPr="00CF16A2">
        <w:rPr>
          <w:rFonts w:ascii="Arial" w:hAnsi="Arial"/>
          <w:sz w:val="18"/>
        </w:rPr>
        <w:t xml:space="preserve"> a folha deserta</w:t>
      </w:r>
    </w:p>
    <w:p w14:paraId="1FA3C17E" w14:textId="77777777" w:rsidR="008B38AF" w:rsidRPr="00CF16A2" w:rsidRDefault="008B38AF" w:rsidP="008B38AF">
      <w:pPr>
        <w:spacing w:line="360" w:lineRule="auto"/>
        <w:jc w:val="both"/>
        <w:rPr>
          <w:rFonts w:ascii="Arial" w:hAnsi="Arial"/>
          <w:sz w:val="18"/>
        </w:rPr>
      </w:pPr>
      <w:r w:rsidRPr="00CF16A2">
        <w:rPr>
          <w:rFonts w:ascii="Arial" w:hAnsi="Arial"/>
          <w:sz w:val="18"/>
        </w:rPr>
        <w:t xml:space="preserve">cujas margens </w:t>
      </w:r>
      <w:r w:rsidR="00BB4A64" w:rsidRPr="00CF16A2">
        <w:rPr>
          <w:rFonts w:ascii="Arial" w:hAnsi="Arial"/>
          <w:sz w:val="18"/>
        </w:rPr>
        <w:t>tateiam</w:t>
      </w:r>
      <w:r w:rsidRPr="00CF16A2">
        <w:rPr>
          <w:rFonts w:ascii="Arial" w:hAnsi="Arial"/>
          <w:sz w:val="18"/>
        </w:rPr>
        <w:t xml:space="preserve"> a fronteira do sangue</w:t>
      </w:r>
    </w:p>
    <w:p w14:paraId="6842AFC6" w14:textId="77777777" w:rsidR="008B38AF" w:rsidRPr="00CF16A2" w:rsidRDefault="008B38AF" w:rsidP="008B38AF">
      <w:pPr>
        <w:spacing w:line="360" w:lineRule="auto"/>
        <w:jc w:val="both"/>
        <w:rPr>
          <w:rFonts w:ascii="Arial" w:hAnsi="Arial"/>
          <w:sz w:val="18"/>
        </w:rPr>
      </w:pPr>
      <w:r w:rsidRPr="00CF16A2">
        <w:rPr>
          <w:rFonts w:ascii="Arial" w:hAnsi="Arial"/>
          <w:sz w:val="18"/>
        </w:rPr>
        <w:t>cujas margens viajam à superfície múltipla</w:t>
      </w:r>
    </w:p>
    <w:p w14:paraId="615E3730" w14:textId="77777777" w:rsidR="008B38AF" w:rsidRPr="00CF16A2" w:rsidRDefault="008B38AF" w:rsidP="008B38AF">
      <w:pPr>
        <w:spacing w:line="360" w:lineRule="auto"/>
        <w:jc w:val="both"/>
        <w:rPr>
          <w:rFonts w:ascii="Arial" w:hAnsi="Arial"/>
          <w:sz w:val="18"/>
        </w:rPr>
      </w:pPr>
      <w:r w:rsidRPr="00CF16A2">
        <w:rPr>
          <w:rFonts w:ascii="Arial" w:hAnsi="Arial"/>
          <w:sz w:val="18"/>
        </w:rPr>
        <w:t>das dunas</w:t>
      </w:r>
    </w:p>
    <w:p w14:paraId="76781ABB" w14:textId="77777777" w:rsidR="008B38AF" w:rsidRPr="00CF16A2" w:rsidRDefault="008B38AF" w:rsidP="008B38AF">
      <w:pPr>
        <w:spacing w:line="360" w:lineRule="auto"/>
        <w:jc w:val="both"/>
        <w:rPr>
          <w:rFonts w:ascii="Arial" w:hAnsi="Arial"/>
          <w:sz w:val="18"/>
        </w:rPr>
      </w:pPr>
      <w:r w:rsidRPr="00CF16A2">
        <w:rPr>
          <w:rFonts w:ascii="Arial" w:hAnsi="Arial"/>
          <w:sz w:val="18"/>
        </w:rPr>
        <w:t>mão aberta [..</w:t>
      </w:r>
      <w:proofErr w:type="gramStart"/>
      <w:r w:rsidRPr="00CF16A2">
        <w:rPr>
          <w:rFonts w:ascii="Arial" w:hAnsi="Arial"/>
          <w:sz w:val="18"/>
        </w:rPr>
        <w:t>.]</w:t>
      </w:r>
      <w:proofErr w:type="gramEnd"/>
      <w:r w:rsidRPr="00CF16A2">
        <w:rPr>
          <w:rFonts w:ascii="Arial" w:hAnsi="Arial"/>
          <w:sz w:val="18"/>
        </w:rPr>
        <w:t>” (2011: 115).</w:t>
      </w:r>
    </w:p>
    <w:p w14:paraId="78A66028" w14:textId="77777777" w:rsidR="008B38AF" w:rsidRDefault="008B38AF" w:rsidP="008B38AF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Passando, de ora em diante, para os critérios relativos à compilação dos textos propriamente dita, encarada de um ponto de vista quantitativo e não temático, procurou-se equilibrar, no que respeita ao número de páginas, os contributos diversos dos quinze Autores antologiados e traduzidos. Se tal equidade se tornou exequível na poesia, deparou, em contrapartida, com escolhos múltiplos na prosa. Tais obstáculos foram contornados pela preferência outorgada à transcrição na íntegra de um ou dois textos (contos ou novelas) da mesma obra, evitando-se, desta feita, </w:t>
      </w:r>
      <w:r w:rsidR="00BB4A64">
        <w:rPr>
          <w:rFonts w:ascii="Arial" w:hAnsi="Arial"/>
          <w:sz w:val="20"/>
        </w:rPr>
        <w:t>ruturas</w:t>
      </w:r>
      <w:r>
        <w:rPr>
          <w:rFonts w:ascii="Arial" w:hAnsi="Arial"/>
          <w:sz w:val="20"/>
        </w:rPr>
        <w:t xml:space="preserve">, discrepâncias ou dissonâncias passíveis de obnubilação de sentido. Como ‘suspender’, verdade seja dita, “A Herança” de Maria de Fátima Borges ou “Estória de Natal” de Álamo de Oliveira, sem prejudicar a leitura e lesar a compreensão, dececionando o leitor? Foi, aliás, a pensar neste último, sobretudo no leitor estrangeiro, que se inseriu, na </w:t>
      </w:r>
      <w:r w:rsidRPr="00E60718">
        <w:rPr>
          <w:rFonts w:ascii="Arial" w:hAnsi="Arial"/>
          <w:i/>
          <w:sz w:val="20"/>
        </w:rPr>
        <w:t>Antologia bilingue</w:t>
      </w:r>
      <w:r>
        <w:rPr>
          <w:rFonts w:ascii="Arial" w:hAnsi="Arial"/>
          <w:sz w:val="20"/>
        </w:rPr>
        <w:t>, um conciso aparelho crítico ou exegético em breves notas de rodapé de ordem lexical, geográfica e cultural: é o caso de (Professora) “Regente” (2011: 44), “Cova da Iria” (2011: 52), “D. Sebastião” (2011: 86), “compadre” (2011: 182) e “Professores Óscar Lopes e Joel Serrão” (2011: 184).</w:t>
      </w:r>
    </w:p>
    <w:p w14:paraId="21C3D1D9" w14:textId="77777777" w:rsidR="008B38AF" w:rsidRDefault="008B38AF" w:rsidP="008B38AF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Como é evidente, não contempla </w:t>
      </w:r>
      <w:r w:rsidRPr="009244AB">
        <w:rPr>
          <w:rFonts w:ascii="Arial" w:hAnsi="Arial"/>
          <w:i/>
          <w:sz w:val="20"/>
        </w:rPr>
        <w:t>esta Antologia bilingue</w:t>
      </w:r>
      <w:r>
        <w:rPr>
          <w:rFonts w:ascii="Arial" w:hAnsi="Arial"/>
          <w:sz w:val="20"/>
        </w:rPr>
        <w:t xml:space="preserve"> (difícil seria que, nas suas exíguas dimensões, contemplasse!) obras recém-publicadas, vindas a lume aquando do seu acabamento definitivo e da sua revisão final (a nível do conteúdo e da paginação), como, por exemplo, </w:t>
      </w:r>
      <w:r w:rsidRPr="00C64460">
        <w:rPr>
          <w:rFonts w:ascii="Arial" w:hAnsi="Arial"/>
          <w:i/>
          <w:sz w:val="20"/>
        </w:rPr>
        <w:t>Fogo Oculto</w:t>
      </w:r>
      <w:r>
        <w:rPr>
          <w:rFonts w:ascii="Arial" w:hAnsi="Arial"/>
          <w:sz w:val="20"/>
        </w:rPr>
        <w:t xml:space="preserve"> de Vasco Pereira da Costa e </w:t>
      </w:r>
      <w:r w:rsidRPr="00C64460">
        <w:rPr>
          <w:rFonts w:ascii="Arial" w:hAnsi="Arial"/>
          <w:i/>
          <w:sz w:val="20"/>
        </w:rPr>
        <w:t>Português sem filtro</w:t>
      </w:r>
      <w:r>
        <w:rPr>
          <w:rFonts w:ascii="Arial" w:hAnsi="Arial"/>
          <w:sz w:val="20"/>
        </w:rPr>
        <w:t xml:space="preserve"> de Onésimo Teotónio de Almeida que já têm o seu ‘lugar reservado’ na </w:t>
      </w:r>
      <w:r w:rsidRPr="00CF16A2">
        <w:rPr>
          <w:rFonts w:ascii="Arial" w:hAnsi="Arial"/>
          <w:i/>
          <w:sz w:val="20"/>
        </w:rPr>
        <w:t>Antologia monolingue</w:t>
      </w:r>
      <w:r>
        <w:rPr>
          <w:rFonts w:ascii="Arial" w:hAnsi="Arial"/>
          <w:sz w:val="20"/>
        </w:rPr>
        <w:t xml:space="preserve">, em dois volumes, que será oportunamente dada ao prelo. Aliás, os desafios proliferam, a ponto de já se ter ideado uma </w:t>
      </w:r>
      <w:r w:rsidRPr="00E60718">
        <w:rPr>
          <w:rFonts w:ascii="Arial" w:hAnsi="Arial"/>
          <w:i/>
          <w:sz w:val="20"/>
        </w:rPr>
        <w:t>Antologia</w:t>
      </w:r>
      <w:r>
        <w:rPr>
          <w:rFonts w:ascii="Arial" w:hAnsi="Arial"/>
          <w:sz w:val="20"/>
        </w:rPr>
        <w:t xml:space="preserve"> de ‘olhares’ estrangeiros, convergentes ou divergentes, sobre as terras açorianas. </w:t>
      </w:r>
      <w:r w:rsidR="00BB4A64">
        <w:rPr>
          <w:rFonts w:ascii="Arial" w:hAnsi="Arial"/>
          <w:sz w:val="20"/>
        </w:rPr>
        <w:t>Exemplo flagrante é o de Samuel Clemens (posteriormente célebre e celebrizado sob o pseudónimo de Mark Twain) que, tendo embarcado, como jornalista do Daily Alta Califórnia, no “Quaker City” a 8 de junho de 1867 com destino à Terra Santa, fez escala no Arquipélago dos Açores, do qual nos oferece as seguintes nótulas (citamos apenas os comentários positivos, marginalizando determinadas apreciações negativas)</w:t>
      </w:r>
      <w:r>
        <w:rPr>
          <w:rFonts w:ascii="Arial" w:hAnsi="Arial"/>
          <w:sz w:val="20"/>
        </w:rPr>
        <w:t xml:space="preserve">: </w:t>
      </w:r>
    </w:p>
    <w:p w14:paraId="70563A49" w14:textId="77777777" w:rsidR="008B38AF" w:rsidRDefault="008B38AF" w:rsidP="008B38AF">
      <w:pPr>
        <w:spacing w:line="360" w:lineRule="auto"/>
        <w:jc w:val="both"/>
        <w:rPr>
          <w:rFonts w:ascii="Arial" w:hAnsi="Arial"/>
          <w:sz w:val="20"/>
        </w:rPr>
      </w:pPr>
    </w:p>
    <w:p w14:paraId="3706F529" w14:textId="77777777" w:rsidR="008B38AF" w:rsidRPr="005E654A" w:rsidRDefault="008B38AF" w:rsidP="008B38AF">
      <w:pPr>
        <w:spacing w:line="360" w:lineRule="auto"/>
        <w:jc w:val="both"/>
        <w:rPr>
          <w:rFonts w:ascii="Arial" w:hAnsi="Arial"/>
          <w:sz w:val="18"/>
        </w:rPr>
      </w:pPr>
      <w:r w:rsidRPr="005E654A">
        <w:rPr>
          <w:rFonts w:ascii="Arial" w:hAnsi="Arial"/>
          <w:sz w:val="18"/>
        </w:rPr>
        <w:t xml:space="preserve">“The island in sight was Flores. [...] But as </w:t>
      </w:r>
      <w:proofErr w:type="spellStart"/>
      <w:r w:rsidRPr="005E654A">
        <w:rPr>
          <w:rFonts w:ascii="Arial" w:hAnsi="Arial"/>
          <w:sz w:val="18"/>
        </w:rPr>
        <w:t>we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bore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down</w:t>
      </w:r>
      <w:proofErr w:type="spellEnd"/>
      <w:r w:rsidRPr="005E654A">
        <w:rPr>
          <w:rFonts w:ascii="Arial" w:hAnsi="Arial"/>
          <w:sz w:val="18"/>
        </w:rPr>
        <w:t xml:space="preserve"> upon </w:t>
      </w:r>
      <w:proofErr w:type="spellStart"/>
      <w:r w:rsidRPr="005E654A">
        <w:rPr>
          <w:rFonts w:ascii="Arial" w:hAnsi="Arial"/>
          <w:sz w:val="18"/>
        </w:rPr>
        <w:t>it</w:t>
      </w:r>
      <w:proofErr w:type="spellEnd"/>
      <w:r w:rsidRPr="005E654A">
        <w:rPr>
          <w:rFonts w:ascii="Arial" w:hAnsi="Arial"/>
          <w:sz w:val="18"/>
        </w:rPr>
        <w:t xml:space="preserve">, the </w:t>
      </w:r>
      <w:proofErr w:type="spellStart"/>
      <w:r w:rsidRPr="005E654A">
        <w:rPr>
          <w:rFonts w:ascii="Arial" w:hAnsi="Arial"/>
          <w:sz w:val="18"/>
        </w:rPr>
        <w:t>sun</w:t>
      </w:r>
      <w:proofErr w:type="spellEnd"/>
      <w:r w:rsidRPr="005E654A">
        <w:rPr>
          <w:rFonts w:ascii="Arial" w:hAnsi="Arial"/>
          <w:sz w:val="18"/>
        </w:rPr>
        <w:t xml:space="preserve"> came out and made </w:t>
      </w:r>
      <w:proofErr w:type="spellStart"/>
      <w:r w:rsidRPr="005E654A">
        <w:rPr>
          <w:rFonts w:ascii="Arial" w:hAnsi="Arial"/>
          <w:sz w:val="18"/>
        </w:rPr>
        <w:t>it</w:t>
      </w:r>
      <w:proofErr w:type="spellEnd"/>
      <w:r w:rsidRPr="005E654A">
        <w:rPr>
          <w:rFonts w:ascii="Arial" w:hAnsi="Arial"/>
          <w:sz w:val="18"/>
        </w:rPr>
        <w:t xml:space="preserve"> a </w:t>
      </w:r>
      <w:proofErr w:type="spellStart"/>
      <w:r w:rsidRPr="005E654A">
        <w:rPr>
          <w:rFonts w:ascii="Arial" w:hAnsi="Arial"/>
          <w:sz w:val="18"/>
        </w:rPr>
        <w:t>beautiful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picture</w:t>
      </w:r>
      <w:proofErr w:type="spellEnd"/>
      <w:r w:rsidRPr="005E654A">
        <w:rPr>
          <w:rFonts w:ascii="Arial" w:hAnsi="Arial"/>
          <w:sz w:val="18"/>
        </w:rPr>
        <w:t xml:space="preserve"> – a mass of </w:t>
      </w:r>
      <w:proofErr w:type="spellStart"/>
      <w:r w:rsidRPr="005E654A">
        <w:rPr>
          <w:rFonts w:ascii="Arial" w:hAnsi="Arial"/>
          <w:sz w:val="18"/>
        </w:rPr>
        <w:t>green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farms</w:t>
      </w:r>
      <w:proofErr w:type="spellEnd"/>
      <w:r w:rsidRPr="005E654A">
        <w:rPr>
          <w:rFonts w:ascii="Arial" w:hAnsi="Arial"/>
          <w:sz w:val="18"/>
        </w:rPr>
        <w:t xml:space="preserve"> and </w:t>
      </w:r>
      <w:proofErr w:type="spellStart"/>
      <w:r w:rsidRPr="005E654A">
        <w:rPr>
          <w:rFonts w:ascii="Arial" w:hAnsi="Arial"/>
          <w:sz w:val="18"/>
        </w:rPr>
        <w:t>meadows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that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swelled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up</w:t>
      </w:r>
      <w:proofErr w:type="spellEnd"/>
      <w:r w:rsidRPr="005E654A">
        <w:rPr>
          <w:rFonts w:ascii="Arial" w:hAnsi="Arial"/>
          <w:sz w:val="18"/>
        </w:rPr>
        <w:t xml:space="preserve"> to a </w:t>
      </w:r>
      <w:proofErr w:type="spellStart"/>
      <w:r w:rsidRPr="005E654A">
        <w:rPr>
          <w:rFonts w:ascii="Arial" w:hAnsi="Arial"/>
          <w:sz w:val="18"/>
        </w:rPr>
        <w:t>height</w:t>
      </w:r>
      <w:proofErr w:type="spellEnd"/>
      <w:r w:rsidRPr="005E654A">
        <w:rPr>
          <w:rFonts w:ascii="Arial" w:hAnsi="Arial"/>
          <w:sz w:val="18"/>
        </w:rPr>
        <w:t xml:space="preserve"> of </w:t>
      </w:r>
      <w:proofErr w:type="spellStart"/>
      <w:r w:rsidRPr="005E654A">
        <w:rPr>
          <w:rFonts w:ascii="Arial" w:hAnsi="Arial"/>
          <w:sz w:val="18"/>
        </w:rPr>
        <w:t>fifteen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hundred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feet</w:t>
      </w:r>
      <w:proofErr w:type="spellEnd"/>
      <w:r w:rsidRPr="005E654A">
        <w:rPr>
          <w:rFonts w:ascii="Arial" w:hAnsi="Arial"/>
          <w:sz w:val="18"/>
        </w:rPr>
        <w:t xml:space="preserve">, and </w:t>
      </w:r>
      <w:proofErr w:type="spellStart"/>
      <w:r w:rsidRPr="005E654A">
        <w:rPr>
          <w:rFonts w:ascii="Arial" w:hAnsi="Arial"/>
          <w:sz w:val="18"/>
        </w:rPr>
        <w:t>mingled</w:t>
      </w:r>
      <w:proofErr w:type="spellEnd"/>
      <w:r w:rsidRPr="005E654A">
        <w:rPr>
          <w:rFonts w:ascii="Arial" w:hAnsi="Arial"/>
          <w:sz w:val="18"/>
        </w:rPr>
        <w:t xml:space="preserve"> its </w:t>
      </w:r>
      <w:proofErr w:type="spellStart"/>
      <w:r w:rsidRPr="005E654A">
        <w:rPr>
          <w:rFonts w:ascii="Arial" w:hAnsi="Arial"/>
          <w:sz w:val="18"/>
        </w:rPr>
        <w:t>upper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outlines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with</w:t>
      </w:r>
      <w:proofErr w:type="spellEnd"/>
      <w:r w:rsidRPr="005E654A">
        <w:rPr>
          <w:rFonts w:ascii="Arial" w:hAnsi="Arial"/>
          <w:sz w:val="18"/>
        </w:rPr>
        <w:t xml:space="preserve"> the </w:t>
      </w:r>
      <w:proofErr w:type="spellStart"/>
      <w:r w:rsidRPr="005E654A">
        <w:rPr>
          <w:rFonts w:ascii="Arial" w:hAnsi="Arial"/>
          <w:sz w:val="18"/>
        </w:rPr>
        <w:t>clouds</w:t>
      </w:r>
      <w:proofErr w:type="spellEnd"/>
      <w:r w:rsidRPr="005E654A">
        <w:rPr>
          <w:rFonts w:ascii="Arial" w:hAnsi="Arial"/>
          <w:sz w:val="18"/>
        </w:rPr>
        <w:t xml:space="preserve">. It was </w:t>
      </w:r>
      <w:proofErr w:type="spellStart"/>
      <w:r w:rsidRPr="005E654A">
        <w:rPr>
          <w:rFonts w:ascii="Arial" w:hAnsi="Arial"/>
          <w:sz w:val="18"/>
        </w:rPr>
        <w:t>ribbed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with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sharp</w:t>
      </w:r>
      <w:proofErr w:type="spellEnd"/>
      <w:r w:rsidRPr="005E654A">
        <w:rPr>
          <w:rFonts w:ascii="Arial" w:hAnsi="Arial"/>
          <w:sz w:val="18"/>
        </w:rPr>
        <w:t xml:space="preserve">, </w:t>
      </w:r>
      <w:proofErr w:type="spellStart"/>
      <w:r w:rsidRPr="005E654A">
        <w:rPr>
          <w:rFonts w:ascii="Arial" w:hAnsi="Arial"/>
          <w:sz w:val="18"/>
        </w:rPr>
        <w:t>steep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ridges</w:t>
      </w:r>
      <w:proofErr w:type="spellEnd"/>
      <w:r w:rsidRPr="005E654A">
        <w:rPr>
          <w:rFonts w:ascii="Arial" w:hAnsi="Arial"/>
          <w:sz w:val="18"/>
        </w:rPr>
        <w:t xml:space="preserve">, and </w:t>
      </w:r>
      <w:proofErr w:type="spellStart"/>
      <w:r w:rsidRPr="005E654A">
        <w:rPr>
          <w:rFonts w:ascii="Arial" w:hAnsi="Arial"/>
          <w:sz w:val="18"/>
        </w:rPr>
        <w:t>cloven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with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narrow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canons</w:t>
      </w:r>
      <w:proofErr w:type="spellEnd"/>
      <w:r w:rsidRPr="005E654A">
        <w:rPr>
          <w:rFonts w:ascii="Arial" w:hAnsi="Arial"/>
          <w:sz w:val="18"/>
        </w:rPr>
        <w:t xml:space="preserve">, and here and there on the </w:t>
      </w:r>
      <w:proofErr w:type="spellStart"/>
      <w:r w:rsidRPr="005E654A">
        <w:rPr>
          <w:rFonts w:ascii="Arial" w:hAnsi="Arial"/>
          <w:sz w:val="18"/>
        </w:rPr>
        <w:t>heights</w:t>
      </w:r>
      <w:proofErr w:type="spellEnd"/>
      <w:r w:rsidRPr="005E654A">
        <w:rPr>
          <w:rFonts w:ascii="Arial" w:hAnsi="Arial"/>
          <w:sz w:val="18"/>
        </w:rPr>
        <w:t xml:space="preserve">, </w:t>
      </w:r>
      <w:proofErr w:type="spellStart"/>
      <w:r w:rsidRPr="005E654A">
        <w:rPr>
          <w:rFonts w:ascii="Arial" w:hAnsi="Arial"/>
          <w:sz w:val="18"/>
        </w:rPr>
        <w:t>rocky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upheavals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shaped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themselves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into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mimic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battlements</w:t>
      </w:r>
      <w:proofErr w:type="spellEnd"/>
      <w:r w:rsidRPr="005E654A">
        <w:rPr>
          <w:rFonts w:ascii="Arial" w:hAnsi="Arial"/>
          <w:sz w:val="18"/>
        </w:rPr>
        <w:t xml:space="preserve"> and </w:t>
      </w:r>
      <w:proofErr w:type="spellStart"/>
      <w:r w:rsidRPr="005E654A">
        <w:rPr>
          <w:rFonts w:ascii="Arial" w:hAnsi="Arial"/>
          <w:sz w:val="18"/>
        </w:rPr>
        <w:t>castles</w:t>
      </w:r>
      <w:proofErr w:type="spellEnd"/>
      <w:r w:rsidRPr="005E654A">
        <w:rPr>
          <w:rFonts w:ascii="Arial" w:hAnsi="Arial"/>
          <w:sz w:val="18"/>
        </w:rPr>
        <w:t xml:space="preserve">; [...] The Portuguese </w:t>
      </w:r>
      <w:proofErr w:type="spellStart"/>
      <w:r w:rsidRPr="005E654A">
        <w:rPr>
          <w:rFonts w:ascii="Arial" w:hAnsi="Arial"/>
          <w:sz w:val="18"/>
        </w:rPr>
        <w:t>pennies</w:t>
      </w:r>
      <w:proofErr w:type="spellEnd"/>
      <w:r w:rsidRPr="005E654A">
        <w:rPr>
          <w:rFonts w:ascii="Arial" w:hAnsi="Arial"/>
          <w:sz w:val="18"/>
        </w:rPr>
        <w:t xml:space="preserve"> or </w:t>
      </w:r>
      <w:proofErr w:type="gramStart"/>
      <w:r w:rsidRPr="005E654A">
        <w:rPr>
          <w:rFonts w:ascii="Arial" w:hAnsi="Arial"/>
          <w:i/>
          <w:sz w:val="18"/>
        </w:rPr>
        <w:t xml:space="preserve">reis </w:t>
      </w:r>
      <w:r w:rsidRPr="005E654A">
        <w:rPr>
          <w:rFonts w:ascii="Arial" w:hAnsi="Arial"/>
          <w:sz w:val="18"/>
        </w:rPr>
        <w:t>(</w:t>
      </w:r>
      <w:proofErr w:type="spellStart"/>
      <w:r w:rsidRPr="005E654A">
        <w:rPr>
          <w:rFonts w:ascii="Arial" w:hAnsi="Arial"/>
          <w:sz w:val="18"/>
        </w:rPr>
        <w:t>pronounced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i/>
          <w:sz w:val="18"/>
        </w:rPr>
        <w:t>rays</w:t>
      </w:r>
      <w:proofErr w:type="spellEnd"/>
      <w:r w:rsidRPr="005E654A">
        <w:rPr>
          <w:rFonts w:ascii="Arial" w:hAnsi="Arial"/>
          <w:sz w:val="18"/>
        </w:rPr>
        <w:t>) are</w:t>
      </w:r>
      <w:proofErr w:type="gram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prodigious</w:t>
      </w:r>
      <w:proofErr w:type="spellEnd"/>
      <w:r w:rsidRPr="005E654A">
        <w:rPr>
          <w:rFonts w:ascii="Arial" w:hAnsi="Arial"/>
          <w:sz w:val="18"/>
        </w:rPr>
        <w:t xml:space="preserve">. It takes </w:t>
      </w:r>
      <w:proofErr w:type="spellStart"/>
      <w:r w:rsidRPr="005E654A">
        <w:rPr>
          <w:rFonts w:ascii="Arial" w:hAnsi="Arial"/>
          <w:sz w:val="18"/>
        </w:rPr>
        <w:t>one</w:t>
      </w:r>
      <w:proofErr w:type="spellEnd"/>
      <w:r w:rsidRPr="005E654A">
        <w:rPr>
          <w:rFonts w:ascii="Arial" w:hAnsi="Arial"/>
          <w:sz w:val="18"/>
        </w:rPr>
        <w:t xml:space="preserve"> thousand reis to make a </w:t>
      </w:r>
      <w:proofErr w:type="spellStart"/>
      <w:r w:rsidRPr="005E654A">
        <w:rPr>
          <w:rFonts w:ascii="Arial" w:hAnsi="Arial"/>
          <w:sz w:val="18"/>
        </w:rPr>
        <w:t>dollar</w:t>
      </w:r>
      <w:proofErr w:type="spellEnd"/>
      <w:r w:rsidRPr="005E654A">
        <w:rPr>
          <w:rFonts w:ascii="Arial" w:hAnsi="Arial"/>
          <w:sz w:val="18"/>
        </w:rPr>
        <w:t xml:space="preserve">, [...] The </w:t>
      </w:r>
      <w:proofErr w:type="spellStart"/>
      <w:r w:rsidRPr="005E654A">
        <w:rPr>
          <w:rFonts w:ascii="Arial" w:hAnsi="Arial"/>
          <w:sz w:val="18"/>
        </w:rPr>
        <w:t>roads</w:t>
      </w:r>
      <w:proofErr w:type="spellEnd"/>
      <w:r w:rsidRPr="005E654A">
        <w:rPr>
          <w:rFonts w:ascii="Arial" w:hAnsi="Arial"/>
          <w:sz w:val="18"/>
        </w:rPr>
        <w:t xml:space="preserve"> [“at Faial – the people there </w:t>
      </w:r>
      <w:proofErr w:type="spellStart"/>
      <w:r w:rsidRPr="005E654A">
        <w:rPr>
          <w:rFonts w:ascii="Arial" w:hAnsi="Arial"/>
          <w:sz w:val="18"/>
        </w:rPr>
        <w:t>pronounce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it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Fy-all</w:t>
      </w:r>
      <w:proofErr w:type="spellEnd"/>
      <w:r w:rsidRPr="005E654A">
        <w:rPr>
          <w:rFonts w:ascii="Arial" w:hAnsi="Arial"/>
          <w:sz w:val="18"/>
        </w:rPr>
        <w:t xml:space="preserve">, and </w:t>
      </w:r>
      <w:proofErr w:type="spellStart"/>
      <w:r w:rsidRPr="005E654A">
        <w:rPr>
          <w:rFonts w:ascii="Arial" w:hAnsi="Arial"/>
          <w:sz w:val="18"/>
        </w:rPr>
        <w:t>put</w:t>
      </w:r>
      <w:proofErr w:type="spellEnd"/>
      <w:r w:rsidRPr="005E654A">
        <w:rPr>
          <w:rFonts w:ascii="Arial" w:hAnsi="Arial"/>
          <w:sz w:val="18"/>
        </w:rPr>
        <w:t xml:space="preserve"> the </w:t>
      </w:r>
      <w:proofErr w:type="spellStart"/>
      <w:r w:rsidRPr="005E654A">
        <w:rPr>
          <w:rFonts w:ascii="Arial" w:hAnsi="Arial"/>
          <w:sz w:val="18"/>
        </w:rPr>
        <w:t>accent</w:t>
      </w:r>
      <w:proofErr w:type="spellEnd"/>
      <w:r w:rsidRPr="005E654A">
        <w:rPr>
          <w:rFonts w:ascii="Arial" w:hAnsi="Arial"/>
          <w:sz w:val="18"/>
        </w:rPr>
        <w:t xml:space="preserve"> on the </w:t>
      </w:r>
      <w:proofErr w:type="spellStart"/>
      <w:r w:rsidRPr="005E654A">
        <w:rPr>
          <w:rFonts w:ascii="Arial" w:hAnsi="Arial"/>
          <w:sz w:val="18"/>
        </w:rPr>
        <w:t>first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syllabe</w:t>
      </w:r>
      <w:proofErr w:type="spellEnd"/>
      <w:r w:rsidRPr="005E654A">
        <w:rPr>
          <w:rFonts w:ascii="Arial" w:hAnsi="Arial"/>
          <w:sz w:val="18"/>
        </w:rPr>
        <w:t xml:space="preserve">”] </w:t>
      </w:r>
      <w:proofErr w:type="spellStart"/>
      <w:r w:rsidRPr="005E654A">
        <w:rPr>
          <w:rFonts w:ascii="Arial" w:hAnsi="Arial"/>
          <w:sz w:val="18"/>
        </w:rPr>
        <w:t>were</w:t>
      </w:r>
      <w:proofErr w:type="spellEnd"/>
      <w:r w:rsidRPr="005E654A">
        <w:rPr>
          <w:rFonts w:ascii="Arial" w:hAnsi="Arial"/>
          <w:sz w:val="18"/>
        </w:rPr>
        <w:t xml:space="preserve"> a wonder, and </w:t>
      </w:r>
      <w:proofErr w:type="spellStart"/>
      <w:r w:rsidRPr="005E654A">
        <w:rPr>
          <w:rFonts w:ascii="Arial" w:hAnsi="Arial"/>
          <w:sz w:val="18"/>
        </w:rPr>
        <w:t>well</w:t>
      </w:r>
      <w:proofErr w:type="spellEnd"/>
      <w:r w:rsidRPr="005E654A">
        <w:rPr>
          <w:rFonts w:ascii="Arial" w:hAnsi="Arial"/>
          <w:sz w:val="18"/>
        </w:rPr>
        <w:t xml:space="preserve"> they </w:t>
      </w:r>
      <w:proofErr w:type="spellStart"/>
      <w:r w:rsidRPr="005E654A">
        <w:rPr>
          <w:rFonts w:ascii="Arial" w:hAnsi="Arial"/>
          <w:sz w:val="18"/>
        </w:rPr>
        <w:t>might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be</w:t>
      </w:r>
      <w:proofErr w:type="spellEnd"/>
      <w:r w:rsidRPr="005E654A">
        <w:rPr>
          <w:rFonts w:ascii="Arial" w:hAnsi="Arial"/>
          <w:sz w:val="18"/>
        </w:rPr>
        <w:t>. [...</w:t>
      </w:r>
      <w:proofErr w:type="gramStart"/>
      <w:r w:rsidRPr="005E654A">
        <w:rPr>
          <w:rFonts w:ascii="Arial" w:hAnsi="Arial"/>
          <w:sz w:val="18"/>
        </w:rPr>
        <w:t xml:space="preserve">]  </w:t>
      </w:r>
      <w:proofErr w:type="spellStart"/>
      <w:r w:rsidRPr="005E654A">
        <w:rPr>
          <w:rFonts w:ascii="Arial" w:hAnsi="Arial"/>
          <w:sz w:val="18"/>
        </w:rPr>
        <w:t>Every</w:t>
      </w:r>
      <w:proofErr w:type="spellEnd"/>
      <w:proofErr w:type="gramEnd"/>
      <w:r w:rsidRPr="005E654A">
        <w:rPr>
          <w:rFonts w:ascii="Arial" w:hAnsi="Arial"/>
          <w:sz w:val="18"/>
        </w:rPr>
        <w:t xml:space="preserve"> where you </w:t>
      </w:r>
      <w:proofErr w:type="spellStart"/>
      <w:r w:rsidRPr="005E654A">
        <w:rPr>
          <w:rFonts w:ascii="Arial" w:hAnsi="Arial"/>
          <w:sz w:val="18"/>
        </w:rPr>
        <w:t>go</w:t>
      </w:r>
      <w:proofErr w:type="spellEnd"/>
      <w:r w:rsidRPr="005E654A">
        <w:rPr>
          <w:rFonts w:ascii="Arial" w:hAnsi="Arial"/>
          <w:sz w:val="18"/>
        </w:rPr>
        <w:t xml:space="preserve">, in any </w:t>
      </w:r>
      <w:proofErr w:type="spellStart"/>
      <w:r w:rsidRPr="005E654A">
        <w:rPr>
          <w:rFonts w:ascii="Arial" w:hAnsi="Arial"/>
          <w:sz w:val="18"/>
        </w:rPr>
        <w:t>direction</w:t>
      </w:r>
      <w:proofErr w:type="spellEnd"/>
      <w:r w:rsidRPr="005E654A">
        <w:rPr>
          <w:rFonts w:ascii="Arial" w:hAnsi="Arial"/>
          <w:sz w:val="18"/>
        </w:rPr>
        <w:t xml:space="preserve">, you </w:t>
      </w:r>
      <w:proofErr w:type="spellStart"/>
      <w:r w:rsidRPr="005E654A">
        <w:rPr>
          <w:rFonts w:ascii="Arial" w:hAnsi="Arial"/>
          <w:sz w:val="18"/>
        </w:rPr>
        <w:t>find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either</w:t>
      </w:r>
      <w:proofErr w:type="spellEnd"/>
      <w:r w:rsidRPr="005E654A">
        <w:rPr>
          <w:rFonts w:ascii="Arial" w:hAnsi="Arial"/>
          <w:sz w:val="18"/>
        </w:rPr>
        <w:t xml:space="preserve"> a </w:t>
      </w:r>
      <w:proofErr w:type="spellStart"/>
      <w:r w:rsidRPr="005E654A">
        <w:rPr>
          <w:rFonts w:ascii="Arial" w:hAnsi="Arial"/>
          <w:sz w:val="18"/>
        </w:rPr>
        <w:t>hard</w:t>
      </w:r>
      <w:proofErr w:type="spellEnd"/>
      <w:r w:rsidRPr="005E654A">
        <w:rPr>
          <w:rFonts w:ascii="Arial" w:hAnsi="Arial"/>
          <w:sz w:val="18"/>
        </w:rPr>
        <w:t xml:space="preserve">, </w:t>
      </w:r>
      <w:proofErr w:type="spellStart"/>
      <w:r w:rsidRPr="005E654A">
        <w:rPr>
          <w:rFonts w:ascii="Arial" w:hAnsi="Arial"/>
          <w:sz w:val="18"/>
        </w:rPr>
        <w:t>smooth</w:t>
      </w:r>
      <w:proofErr w:type="spellEnd"/>
      <w:r w:rsidRPr="005E654A">
        <w:rPr>
          <w:rFonts w:ascii="Arial" w:hAnsi="Arial"/>
          <w:sz w:val="18"/>
        </w:rPr>
        <w:t xml:space="preserve">, </w:t>
      </w:r>
      <w:proofErr w:type="spellStart"/>
      <w:r w:rsidRPr="005E654A">
        <w:rPr>
          <w:rFonts w:ascii="Arial" w:hAnsi="Arial"/>
          <w:sz w:val="18"/>
        </w:rPr>
        <w:t>level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thoroughfare</w:t>
      </w:r>
      <w:proofErr w:type="spellEnd"/>
      <w:r w:rsidRPr="005E654A">
        <w:rPr>
          <w:rFonts w:ascii="Arial" w:hAnsi="Arial"/>
          <w:sz w:val="18"/>
        </w:rPr>
        <w:t xml:space="preserve">, </w:t>
      </w:r>
      <w:proofErr w:type="spellStart"/>
      <w:r w:rsidRPr="005E654A">
        <w:rPr>
          <w:rFonts w:ascii="Arial" w:hAnsi="Arial"/>
          <w:sz w:val="18"/>
        </w:rPr>
        <w:t>just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sprinkled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with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black</w:t>
      </w:r>
      <w:proofErr w:type="spellEnd"/>
      <w:r w:rsidRPr="005E654A">
        <w:rPr>
          <w:rFonts w:ascii="Arial" w:hAnsi="Arial"/>
          <w:sz w:val="18"/>
        </w:rPr>
        <w:t xml:space="preserve"> lava </w:t>
      </w:r>
      <w:proofErr w:type="spellStart"/>
      <w:r w:rsidRPr="005E654A">
        <w:rPr>
          <w:rFonts w:ascii="Arial" w:hAnsi="Arial"/>
          <w:sz w:val="18"/>
        </w:rPr>
        <w:t>sand</w:t>
      </w:r>
      <w:proofErr w:type="spellEnd"/>
      <w:r w:rsidRPr="005E654A">
        <w:rPr>
          <w:rFonts w:ascii="Arial" w:hAnsi="Arial"/>
          <w:sz w:val="18"/>
        </w:rPr>
        <w:t xml:space="preserve">, and </w:t>
      </w:r>
      <w:proofErr w:type="spellStart"/>
      <w:r w:rsidRPr="005E654A">
        <w:rPr>
          <w:rFonts w:ascii="Arial" w:hAnsi="Arial"/>
          <w:sz w:val="18"/>
        </w:rPr>
        <w:t>bordered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with</w:t>
      </w:r>
      <w:proofErr w:type="spellEnd"/>
      <w:r w:rsidRPr="005E654A">
        <w:rPr>
          <w:rFonts w:ascii="Arial" w:hAnsi="Arial"/>
          <w:sz w:val="18"/>
        </w:rPr>
        <w:t xml:space="preserve"> little </w:t>
      </w:r>
      <w:proofErr w:type="spellStart"/>
      <w:r w:rsidRPr="005E654A">
        <w:rPr>
          <w:rFonts w:ascii="Arial" w:hAnsi="Arial"/>
          <w:sz w:val="18"/>
        </w:rPr>
        <w:t>gutters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neatly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paved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with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small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smooth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pebbles</w:t>
      </w:r>
      <w:proofErr w:type="spellEnd"/>
      <w:r w:rsidRPr="005E654A">
        <w:rPr>
          <w:rFonts w:ascii="Arial" w:hAnsi="Arial"/>
          <w:sz w:val="18"/>
        </w:rPr>
        <w:t xml:space="preserve"> [...] </w:t>
      </w:r>
      <w:proofErr w:type="spellStart"/>
      <w:r w:rsidRPr="005E654A">
        <w:rPr>
          <w:rFonts w:ascii="Arial" w:hAnsi="Arial"/>
          <w:sz w:val="18"/>
        </w:rPr>
        <w:t>They</w:t>
      </w:r>
      <w:proofErr w:type="spellEnd"/>
      <w:r w:rsidRPr="005E654A">
        <w:rPr>
          <w:rFonts w:ascii="Arial" w:hAnsi="Arial"/>
          <w:sz w:val="18"/>
        </w:rPr>
        <w:t xml:space="preserve"> talk </w:t>
      </w:r>
      <w:proofErr w:type="spellStart"/>
      <w:r w:rsidRPr="005E654A">
        <w:rPr>
          <w:rFonts w:ascii="Arial" w:hAnsi="Arial"/>
          <w:sz w:val="18"/>
        </w:rPr>
        <w:t>much</w:t>
      </w:r>
      <w:proofErr w:type="spellEnd"/>
      <w:r w:rsidRPr="005E654A">
        <w:rPr>
          <w:rFonts w:ascii="Arial" w:hAnsi="Arial"/>
          <w:sz w:val="18"/>
        </w:rPr>
        <w:t xml:space="preserve"> of the </w:t>
      </w:r>
      <w:proofErr w:type="spellStart"/>
      <w:r w:rsidRPr="005E654A">
        <w:rPr>
          <w:rFonts w:ascii="Arial" w:hAnsi="Arial"/>
          <w:sz w:val="18"/>
        </w:rPr>
        <w:t>Russ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pavement</w:t>
      </w:r>
      <w:proofErr w:type="spellEnd"/>
      <w:r w:rsidRPr="005E654A">
        <w:rPr>
          <w:rFonts w:ascii="Arial" w:hAnsi="Arial"/>
          <w:sz w:val="18"/>
        </w:rPr>
        <w:t xml:space="preserve"> in New York, and </w:t>
      </w:r>
      <w:proofErr w:type="spellStart"/>
      <w:r w:rsidRPr="005E654A">
        <w:rPr>
          <w:rFonts w:ascii="Arial" w:hAnsi="Arial"/>
          <w:sz w:val="18"/>
        </w:rPr>
        <w:t>call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it</w:t>
      </w:r>
      <w:proofErr w:type="spellEnd"/>
      <w:r w:rsidRPr="005E654A">
        <w:rPr>
          <w:rFonts w:ascii="Arial" w:hAnsi="Arial"/>
          <w:sz w:val="18"/>
        </w:rPr>
        <w:t xml:space="preserve"> a </w:t>
      </w:r>
      <w:proofErr w:type="spellStart"/>
      <w:r w:rsidRPr="005E654A">
        <w:rPr>
          <w:rFonts w:ascii="Arial" w:hAnsi="Arial"/>
          <w:sz w:val="18"/>
        </w:rPr>
        <w:t>new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invention</w:t>
      </w:r>
      <w:proofErr w:type="spellEnd"/>
      <w:r w:rsidRPr="005E654A">
        <w:rPr>
          <w:rFonts w:ascii="Arial" w:hAnsi="Arial"/>
          <w:sz w:val="18"/>
        </w:rPr>
        <w:t xml:space="preserve"> – yet here  they have been </w:t>
      </w:r>
      <w:proofErr w:type="spellStart"/>
      <w:r w:rsidRPr="005E654A">
        <w:rPr>
          <w:rFonts w:ascii="Arial" w:hAnsi="Arial"/>
          <w:sz w:val="18"/>
        </w:rPr>
        <w:t>using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it</w:t>
      </w:r>
      <w:proofErr w:type="spellEnd"/>
      <w:r w:rsidRPr="005E654A">
        <w:rPr>
          <w:rFonts w:ascii="Arial" w:hAnsi="Arial"/>
          <w:sz w:val="18"/>
        </w:rPr>
        <w:t xml:space="preserve"> in this </w:t>
      </w:r>
      <w:proofErr w:type="spellStart"/>
      <w:r w:rsidRPr="005E654A">
        <w:rPr>
          <w:rFonts w:ascii="Arial" w:hAnsi="Arial"/>
          <w:sz w:val="18"/>
        </w:rPr>
        <w:t>remote</w:t>
      </w:r>
      <w:proofErr w:type="spellEnd"/>
      <w:r w:rsidRPr="005E654A">
        <w:rPr>
          <w:rFonts w:ascii="Arial" w:hAnsi="Arial"/>
          <w:sz w:val="18"/>
        </w:rPr>
        <w:t xml:space="preserve"> little </w:t>
      </w:r>
      <w:proofErr w:type="spellStart"/>
      <w:r w:rsidRPr="005E654A">
        <w:rPr>
          <w:rFonts w:ascii="Arial" w:hAnsi="Arial"/>
          <w:sz w:val="18"/>
        </w:rPr>
        <w:t>isle</w:t>
      </w:r>
      <w:proofErr w:type="spellEnd"/>
      <w:r w:rsidRPr="005E654A">
        <w:rPr>
          <w:rFonts w:ascii="Arial" w:hAnsi="Arial"/>
          <w:sz w:val="18"/>
        </w:rPr>
        <w:t xml:space="preserve"> of the sea for </w:t>
      </w:r>
      <w:proofErr w:type="spellStart"/>
      <w:r w:rsidRPr="005E654A">
        <w:rPr>
          <w:rFonts w:ascii="Arial" w:hAnsi="Arial"/>
          <w:sz w:val="18"/>
        </w:rPr>
        <w:t>two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hundred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years</w:t>
      </w:r>
      <w:proofErr w:type="spellEnd"/>
      <w:r w:rsidRPr="005E654A">
        <w:rPr>
          <w:rFonts w:ascii="Arial" w:hAnsi="Arial"/>
          <w:sz w:val="18"/>
        </w:rPr>
        <w:t xml:space="preserve">! [...] We </w:t>
      </w:r>
      <w:proofErr w:type="spellStart"/>
      <w:r w:rsidRPr="005E654A">
        <w:rPr>
          <w:rFonts w:ascii="Arial" w:hAnsi="Arial"/>
          <w:sz w:val="18"/>
        </w:rPr>
        <w:t>sailed</w:t>
      </w:r>
      <w:proofErr w:type="spellEnd"/>
      <w:r w:rsidRPr="005E654A">
        <w:rPr>
          <w:rFonts w:ascii="Arial" w:hAnsi="Arial"/>
          <w:sz w:val="18"/>
        </w:rPr>
        <w:t xml:space="preserve"> along the </w:t>
      </w:r>
      <w:proofErr w:type="spellStart"/>
      <w:r w:rsidRPr="005E654A">
        <w:rPr>
          <w:rFonts w:ascii="Arial" w:hAnsi="Arial"/>
          <w:sz w:val="18"/>
        </w:rPr>
        <w:t>shore</w:t>
      </w:r>
      <w:proofErr w:type="spellEnd"/>
      <w:r w:rsidRPr="005E654A">
        <w:rPr>
          <w:rFonts w:ascii="Arial" w:hAnsi="Arial"/>
          <w:sz w:val="18"/>
        </w:rPr>
        <w:t xml:space="preserve"> of the Island of Pico, </w:t>
      </w:r>
      <w:proofErr w:type="spellStart"/>
      <w:r w:rsidRPr="005E654A">
        <w:rPr>
          <w:rFonts w:ascii="Arial" w:hAnsi="Arial"/>
          <w:sz w:val="18"/>
        </w:rPr>
        <w:t>under</w:t>
      </w:r>
      <w:proofErr w:type="spellEnd"/>
      <w:r w:rsidRPr="005E654A">
        <w:rPr>
          <w:rFonts w:ascii="Arial" w:hAnsi="Arial"/>
          <w:sz w:val="18"/>
        </w:rPr>
        <w:t xml:space="preserve"> a </w:t>
      </w:r>
      <w:proofErr w:type="spellStart"/>
      <w:r w:rsidRPr="005E654A">
        <w:rPr>
          <w:rFonts w:ascii="Arial" w:hAnsi="Arial"/>
          <w:sz w:val="18"/>
        </w:rPr>
        <w:t>stately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green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pyramid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that</w:t>
      </w:r>
      <w:proofErr w:type="spellEnd"/>
      <w:r w:rsidRPr="005E654A">
        <w:rPr>
          <w:rFonts w:ascii="Arial" w:hAnsi="Arial"/>
          <w:sz w:val="18"/>
        </w:rPr>
        <w:t xml:space="preserve"> rose </w:t>
      </w:r>
      <w:proofErr w:type="spellStart"/>
      <w:r w:rsidRPr="005E654A">
        <w:rPr>
          <w:rFonts w:ascii="Arial" w:hAnsi="Arial"/>
          <w:sz w:val="18"/>
        </w:rPr>
        <w:t>up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with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one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unbroken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sweep</w:t>
      </w:r>
      <w:proofErr w:type="spellEnd"/>
      <w:r w:rsidRPr="005E654A">
        <w:rPr>
          <w:rFonts w:ascii="Arial" w:hAnsi="Arial"/>
          <w:sz w:val="18"/>
        </w:rPr>
        <w:t xml:space="preserve"> from our </w:t>
      </w:r>
      <w:proofErr w:type="spellStart"/>
      <w:r w:rsidRPr="005E654A">
        <w:rPr>
          <w:rFonts w:ascii="Arial" w:hAnsi="Arial"/>
          <w:sz w:val="18"/>
        </w:rPr>
        <w:t>very</w:t>
      </w:r>
      <w:proofErr w:type="spellEnd"/>
      <w:r w:rsidRPr="005E654A">
        <w:rPr>
          <w:rFonts w:ascii="Arial" w:hAnsi="Arial"/>
          <w:sz w:val="18"/>
        </w:rPr>
        <w:t xml:space="preserve"> </w:t>
      </w:r>
      <w:proofErr w:type="spellStart"/>
      <w:r w:rsidRPr="005E654A">
        <w:rPr>
          <w:rFonts w:ascii="Arial" w:hAnsi="Arial"/>
          <w:sz w:val="18"/>
        </w:rPr>
        <w:t>feet</w:t>
      </w:r>
      <w:proofErr w:type="spellEnd"/>
      <w:r w:rsidRPr="005E654A">
        <w:rPr>
          <w:rFonts w:ascii="Arial" w:hAnsi="Arial"/>
          <w:sz w:val="18"/>
        </w:rPr>
        <w:t xml:space="preserve"> to </w:t>
      </w:r>
      <w:proofErr w:type="spellStart"/>
      <w:r w:rsidRPr="005E654A">
        <w:rPr>
          <w:rFonts w:ascii="Arial" w:hAnsi="Arial"/>
          <w:sz w:val="18"/>
        </w:rPr>
        <w:t>an</w:t>
      </w:r>
      <w:proofErr w:type="spellEnd"/>
      <w:r w:rsidRPr="005E654A">
        <w:rPr>
          <w:rFonts w:ascii="Arial" w:hAnsi="Arial"/>
          <w:sz w:val="18"/>
        </w:rPr>
        <w:t xml:space="preserve"> altitude of 7,613 </w:t>
      </w:r>
      <w:proofErr w:type="spellStart"/>
      <w:r w:rsidRPr="005E654A">
        <w:rPr>
          <w:rFonts w:ascii="Arial" w:hAnsi="Arial"/>
          <w:sz w:val="18"/>
        </w:rPr>
        <w:t>feet</w:t>
      </w:r>
      <w:proofErr w:type="spellEnd"/>
      <w:r w:rsidRPr="005E654A">
        <w:rPr>
          <w:rFonts w:ascii="Arial" w:hAnsi="Arial"/>
          <w:sz w:val="18"/>
        </w:rPr>
        <w:t>, [..</w:t>
      </w:r>
      <w:proofErr w:type="gramStart"/>
      <w:r w:rsidRPr="005E654A">
        <w:rPr>
          <w:rFonts w:ascii="Arial" w:hAnsi="Arial"/>
          <w:sz w:val="18"/>
        </w:rPr>
        <w:t>.]</w:t>
      </w:r>
      <w:proofErr w:type="gramEnd"/>
      <w:r w:rsidRPr="005E654A">
        <w:rPr>
          <w:rFonts w:ascii="Arial" w:hAnsi="Arial"/>
          <w:sz w:val="18"/>
        </w:rPr>
        <w:t>” (</w:t>
      </w:r>
      <w:r w:rsidRPr="005E654A">
        <w:rPr>
          <w:rFonts w:ascii="Arial" w:hAnsi="Arial"/>
          <w:i/>
          <w:sz w:val="18"/>
        </w:rPr>
        <w:t>The Innocents Abroad</w:t>
      </w:r>
      <w:r w:rsidRPr="005E654A">
        <w:rPr>
          <w:rFonts w:ascii="Arial" w:hAnsi="Arial"/>
          <w:sz w:val="18"/>
        </w:rPr>
        <w:t xml:space="preserve">. New York, The Modern </w:t>
      </w:r>
      <w:proofErr w:type="spellStart"/>
      <w:r w:rsidRPr="005E654A">
        <w:rPr>
          <w:rFonts w:ascii="Arial" w:hAnsi="Arial"/>
          <w:sz w:val="18"/>
        </w:rPr>
        <w:t>Library</w:t>
      </w:r>
      <w:proofErr w:type="spellEnd"/>
      <w:r w:rsidRPr="005E654A">
        <w:rPr>
          <w:rFonts w:ascii="Arial" w:hAnsi="Arial"/>
          <w:sz w:val="18"/>
        </w:rPr>
        <w:t>, 2003, pp. 28-30-36-37).</w:t>
      </w:r>
    </w:p>
    <w:p w14:paraId="20F7FC70" w14:textId="77777777" w:rsidR="008B38AF" w:rsidRPr="005E654A" w:rsidRDefault="008B38AF" w:rsidP="008B38AF">
      <w:pPr>
        <w:spacing w:line="360" w:lineRule="auto"/>
        <w:jc w:val="both"/>
        <w:rPr>
          <w:rFonts w:ascii="Arial" w:hAnsi="Arial"/>
          <w:sz w:val="18"/>
        </w:rPr>
      </w:pPr>
      <w:r w:rsidRPr="005E654A">
        <w:rPr>
          <w:rFonts w:ascii="Arial" w:hAnsi="Arial"/>
          <w:sz w:val="18"/>
        </w:rPr>
        <w:t xml:space="preserve">“A ilha que se avistava era a das Flores. [...] à medida que nos aproximávamos veio o Sol, e tornou-se num belo quadro: um conjunto de quintas e prados verdes que subiam até aos mil e quinhentos pés, fundindo os seus contornos com as nuvens. Tinha escarpas íngremes e abruptas, escavadas por estreitos túneis, e, aqui e ali, nas alturas, os cimos rochosos pareciam desenhar fortalezas e castelos; [...] A moeda portuguesa, os réis (pronunciam </w:t>
      </w:r>
      <w:proofErr w:type="spellStart"/>
      <w:r w:rsidRPr="005E654A">
        <w:rPr>
          <w:rFonts w:ascii="Arial" w:hAnsi="Arial"/>
          <w:i/>
          <w:sz w:val="18"/>
        </w:rPr>
        <w:t>rays</w:t>
      </w:r>
      <w:proofErr w:type="spellEnd"/>
      <w:r w:rsidRPr="005E654A">
        <w:rPr>
          <w:rFonts w:ascii="Arial" w:hAnsi="Arial"/>
          <w:sz w:val="18"/>
        </w:rPr>
        <w:t xml:space="preserve">), é prodigiosa. Precisamos de mil réis para perfazer um dólar, [...] As estradas (no Faial – “a que as pessoas de lá chamam </w:t>
      </w:r>
      <w:proofErr w:type="spellStart"/>
      <w:r w:rsidRPr="005E654A">
        <w:rPr>
          <w:rFonts w:ascii="Arial" w:hAnsi="Arial"/>
          <w:sz w:val="18"/>
        </w:rPr>
        <w:t>Fá-i-ol</w:t>
      </w:r>
      <w:proofErr w:type="spellEnd"/>
      <w:r w:rsidRPr="005E654A">
        <w:rPr>
          <w:rFonts w:ascii="Arial" w:hAnsi="Arial"/>
          <w:sz w:val="18"/>
        </w:rPr>
        <w:t>”) eram uma maravilha e absolutamente imbatíveis. [...] Muito se tem gabado a calçada de Nova Iorque como se fosse uma grande invenção – e eles, nesta pequena ilha perdida no mar usam-na desde há duzentos anos! Todas as ruas da Horta apresentam a mesma calçada compacta, com uma superfície polida e firme como o chão... em vez de cheia de buracos como na Broadway. [...] Navegámos ao longo da costa do Pico, sob uma majestosa pirâmide de verde que se erguia de um pulo escorreito desde o solo que pisámos até uma altura de 7613 pés, [..</w:t>
      </w:r>
      <w:proofErr w:type="gramStart"/>
      <w:r w:rsidRPr="005E654A">
        <w:rPr>
          <w:rFonts w:ascii="Arial" w:hAnsi="Arial"/>
          <w:sz w:val="18"/>
        </w:rPr>
        <w:t>.]</w:t>
      </w:r>
      <w:proofErr w:type="gramEnd"/>
      <w:r w:rsidRPr="005E654A">
        <w:rPr>
          <w:rFonts w:ascii="Arial" w:hAnsi="Arial"/>
          <w:sz w:val="18"/>
        </w:rPr>
        <w:t>” (59-60-62-69-70-71).</w:t>
      </w:r>
    </w:p>
    <w:p w14:paraId="649C26A8" w14:textId="77777777" w:rsidR="008B38AF" w:rsidRPr="004B707F" w:rsidRDefault="008B38AF" w:rsidP="008B38AF">
      <w:pPr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5583F04B" w14:textId="77777777" w:rsidR="008B38AF" w:rsidRPr="00306B51" w:rsidRDefault="008B38AF" w:rsidP="008B38AF">
      <w:pPr>
        <w:spacing w:line="360" w:lineRule="auto"/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No que diz respeito à receção desta </w:t>
      </w:r>
      <w:r w:rsidRPr="00E60718">
        <w:rPr>
          <w:rFonts w:ascii="Arial" w:hAnsi="Arial"/>
          <w:i/>
          <w:sz w:val="20"/>
        </w:rPr>
        <w:t>Antologia bilingue</w:t>
      </w:r>
      <w:r w:rsidRPr="00306B51">
        <w:rPr>
          <w:rFonts w:ascii="Arial" w:hAnsi="Arial"/>
          <w:sz w:val="20"/>
        </w:rPr>
        <w:t xml:space="preserve">, uma panóplia de questões (assumindo-se como iminentes discursos críticos), redundando em eventual controvérsia, mero lamento ou imerecido encómio, poderia ser levantada: a primeira, crucial, remeteria, decerto, para a sua incompletude, questionando a omissão de alguns nomes de Autores antologiáveis, mas não antologiados, nesta ocorrência, por razões alheias à vontade e ao esforço das antologiadoras; a segunda, acessória, contestaria, quiçá, os critérios que presidiram à seleção dos textos recolhidos, bem como a legitimidade científica que detém um </w:t>
      </w:r>
      <w:proofErr w:type="gramStart"/>
      <w:r w:rsidRPr="00306B51">
        <w:rPr>
          <w:rFonts w:ascii="Arial" w:hAnsi="Arial"/>
          <w:sz w:val="20"/>
        </w:rPr>
        <w:t>certo e determinado</w:t>
      </w:r>
      <w:proofErr w:type="gramEnd"/>
      <w:r w:rsidRPr="00306B51">
        <w:rPr>
          <w:rFonts w:ascii="Arial" w:hAnsi="Arial"/>
          <w:sz w:val="20"/>
        </w:rPr>
        <w:t xml:space="preserve"> extrato no que à representação antologística do seu Autor diz respeito.</w:t>
      </w:r>
    </w:p>
    <w:p w14:paraId="41A6515A" w14:textId="77777777" w:rsidR="008B38AF" w:rsidRPr="00306B51" w:rsidRDefault="008B38AF" w:rsidP="008B38AF">
      <w:pPr>
        <w:spacing w:line="360" w:lineRule="auto"/>
        <w:jc w:val="both"/>
        <w:rPr>
          <w:rFonts w:ascii="Arial" w:hAnsi="Arial"/>
          <w:sz w:val="20"/>
        </w:rPr>
      </w:pPr>
      <w:r w:rsidRPr="00306B51">
        <w:rPr>
          <w:rFonts w:ascii="Arial" w:hAnsi="Arial"/>
          <w:sz w:val="20"/>
        </w:rPr>
        <w:tab/>
        <w:t xml:space="preserve">Que nos seja lícito, antecipando uma parca contra-argumentação a esses plausíveis argumentos (que ainda não o são, mas que o poderão vir a ser) sobre os quais temos vindo sobejamente a refletir, relembrar que uma antologia, vulgo florilégio ou seleta, mais não é do que uma amostra de Autores e uma recolha de textos, fragmentária e relativa, mas constituindo, mercê do seu teor fracionário e inacabado, trampolim para a totalidade almejada, tão-somente atingível (ou inalcançável?) mediante reedições, veiculando acréscimos ou atualizações, suprimindo lacunas capitais e firmando, desta feita, a desculpabilização do antologiador relativamente ao cariz não exaustivo da sua obra, apanágio de todo e qualquer ser humano. Do mesmo modo, a subjetividade que nos poderia ser legalmente apontada foi minorada pela colaboração dos Autores, aos quais agradecemos profundamente, tanto pela sua anuência à coleção dos textos antologiados (numa perspetiva não </w:t>
      </w:r>
      <w:proofErr w:type="gramStart"/>
      <w:r w:rsidRPr="00306B51">
        <w:rPr>
          <w:rFonts w:ascii="Arial" w:hAnsi="Arial"/>
          <w:sz w:val="20"/>
        </w:rPr>
        <w:t>diacrónica)  como</w:t>
      </w:r>
      <w:proofErr w:type="gramEnd"/>
      <w:r w:rsidRPr="00306B51">
        <w:rPr>
          <w:rFonts w:ascii="Arial" w:hAnsi="Arial"/>
          <w:sz w:val="20"/>
        </w:rPr>
        <w:t xml:space="preserve"> pela verificação da respetiva tradução para língua inglesa.</w:t>
      </w:r>
    </w:p>
    <w:p w14:paraId="248BB6F3" w14:textId="77777777" w:rsidR="008B38AF" w:rsidRPr="00306B51" w:rsidRDefault="008B38AF" w:rsidP="008B38AF">
      <w:pPr>
        <w:spacing w:line="360" w:lineRule="auto"/>
        <w:jc w:val="both"/>
        <w:rPr>
          <w:rFonts w:ascii="Arial" w:hAnsi="Arial"/>
          <w:sz w:val="20"/>
        </w:rPr>
      </w:pPr>
      <w:r w:rsidRPr="00306B51">
        <w:rPr>
          <w:rFonts w:ascii="Arial" w:hAnsi="Arial"/>
          <w:sz w:val="20"/>
        </w:rPr>
        <w:tab/>
        <w:t xml:space="preserve">Qualquer antologiador demiúrgico que para si reivindicasse a autoria de uma antologia perfeita e qualquer leitor ou </w:t>
      </w:r>
      <w:proofErr w:type="gramStart"/>
      <w:r w:rsidRPr="00306B51">
        <w:rPr>
          <w:rFonts w:ascii="Arial" w:hAnsi="Arial"/>
          <w:sz w:val="20"/>
        </w:rPr>
        <w:t>consultador improficientes</w:t>
      </w:r>
      <w:proofErr w:type="gramEnd"/>
      <w:r w:rsidRPr="00306B51">
        <w:rPr>
          <w:rFonts w:ascii="Arial" w:hAnsi="Arial"/>
          <w:sz w:val="20"/>
        </w:rPr>
        <w:t xml:space="preserve"> que apontassem omissões numa antologia que, </w:t>
      </w:r>
      <w:proofErr w:type="spellStart"/>
      <w:r w:rsidRPr="00306B51">
        <w:rPr>
          <w:rFonts w:ascii="Arial" w:hAnsi="Arial"/>
          <w:sz w:val="20"/>
        </w:rPr>
        <w:t>definitoriamente</w:t>
      </w:r>
      <w:proofErr w:type="spellEnd"/>
      <w:r w:rsidRPr="00306B51">
        <w:rPr>
          <w:rFonts w:ascii="Arial" w:hAnsi="Arial"/>
          <w:sz w:val="20"/>
        </w:rPr>
        <w:t xml:space="preserve"> e à partida, prima pelo teor </w:t>
      </w:r>
      <w:proofErr w:type="spellStart"/>
      <w:r w:rsidRPr="00306B51">
        <w:rPr>
          <w:rFonts w:ascii="Arial" w:hAnsi="Arial"/>
          <w:sz w:val="20"/>
        </w:rPr>
        <w:t>elítico</w:t>
      </w:r>
      <w:proofErr w:type="spellEnd"/>
      <w:r w:rsidRPr="00306B51">
        <w:rPr>
          <w:rFonts w:ascii="Arial" w:hAnsi="Arial"/>
          <w:sz w:val="20"/>
        </w:rPr>
        <w:t xml:space="preserve"> assemelhar-se-iam a Prometeu, incorrendo no risco de serem supliciados como Tântalo ou punidos como Ícaro.</w:t>
      </w:r>
    </w:p>
    <w:p w14:paraId="1EF6462C" w14:textId="77777777" w:rsidR="008B38AF" w:rsidRDefault="008B38AF" w:rsidP="008B38AF">
      <w:pPr>
        <w:spacing w:line="360" w:lineRule="auto"/>
        <w:jc w:val="both"/>
        <w:rPr>
          <w:rFonts w:ascii="Arial" w:hAnsi="Arial"/>
          <w:sz w:val="20"/>
        </w:rPr>
      </w:pPr>
      <w:r w:rsidRPr="00306B51">
        <w:rPr>
          <w:rFonts w:ascii="Arial" w:hAnsi="Arial"/>
          <w:sz w:val="20"/>
        </w:rPr>
        <w:tab/>
        <w:t xml:space="preserve">Quanto a nós, conscientes da dificuldade em congraçar relativo e absoluto, elegemos, como parece ser recomendável em situações deste tipo, o esforço hercúleo e perfetível, mas incessantemente recomeçado, do infeliz Sísifo. Na verdade, </w:t>
      </w:r>
      <w:r w:rsidRPr="00306B51">
        <w:rPr>
          <w:rFonts w:ascii="Arial" w:hAnsi="Arial"/>
          <w:i/>
          <w:sz w:val="20"/>
        </w:rPr>
        <w:t xml:space="preserve">errando, </w:t>
      </w:r>
      <w:proofErr w:type="spellStart"/>
      <w:r w:rsidRPr="00306B51">
        <w:rPr>
          <w:rFonts w:ascii="Arial" w:hAnsi="Arial"/>
          <w:i/>
          <w:sz w:val="20"/>
        </w:rPr>
        <w:t>corrigitur</w:t>
      </w:r>
      <w:proofErr w:type="spellEnd"/>
      <w:r w:rsidRPr="00306B51">
        <w:rPr>
          <w:rFonts w:ascii="Arial" w:hAnsi="Arial"/>
          <w:i/>
          <w:sz w:val="20"/>
        </w:rPr>
        <w:t xml:space="preserve"> </w:t>
      </w:r>
      <w:proofErr w:type="spellStart"/>
      <w:r w:rsidRPr="00306B51">
        <w:rPr>
          <w:rFonts w:ascii="Arial" w:hAnsi="Arial"/>
          <w:i/>
          <w:sz w:val="20"/>
        </w:rPr>
        <w:t>error</w:t>
      </w:r>
      <w:proofErr w:type="spellEnd"/>
      <w:r w:rsidRPr="00306B51">
        <w:rPr>
          <w:rFonts w:ascii="Arial" w:hAnsi="Arial"/>
          <w:sz w:val="20"/>
        </w:rPr>
        <w:t>.</w:t>
      </w:r>
    </w:p>
    <w:p w14:paraId="68EEBACF" w14:textId="77777777" w:rsidR="008B38AF" w:rsidRPr="00306B51" w:rsidRDefault="008B38AF" w:rsidP="008B38AF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Pr="00E60718">
        <w:rPr>
          <w:rFonts w:ascii="Arial" w:hAnsi="Arial"/>
          <w:i/>
          <w:sz w:val="20"/>
        </w:rPr>
        <w:t>NOTA BENE</w:t>
      </w:r>
      <w:r>
        <w:rPr>
          <w:rFonts w:ascii="Arial" w:hAnsi="Arial"/>
          <w:sz w:val="20"/>
        </w:rPr>
        <w:t xml:space="preserve">: Este texto de apresentação não estaria, de modo algum, completo, pela parte que me toca, sem o devido e profundo agradecimento ao escritor Cristóvão de Aguiar, cujos livros ‘usei’ e de cuja biblioteca ‘abusei’ ao longo dos </w:t>
      </w:r>
      <w:proofErr w:type="gramStart"/>
      <w:r>
        <w:rPr>
          <w:rFonts w:ascii="Arial" w:hAnsi="Arial"/>
          <w:sz w:val="20"/>
        </w:rPr>
        <w:t>últimos  anos.</w:t>
      </w:r>
      <w:proofErr w:type="gramEnd"/>
      <w:r>
        <w:rPr>
          <w:rFonts w:ascii="Arial" w:hAnsi="Arial"/>
          <w:sz w:val="20"/>
        </w:rPr>
        <w:t xml:space="preserve"> </w:t>
      </w:r>
    </w:p>
    <w:p w14:paraId="29817336" w14:textId="77777777" w:rsidR="008B38AF" w:rsidRDefault="00BB4A64" w:rsidP="008B38AF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MARIA DO ROSÁRIO GIRÃO DOS SANTOS, DEPARTAMENTO ESTUDOS ROMÂNICOS DA UNIVERSIDADE DO MINHO</w:t>
      </w:r>
    </w:p>
    <w:p w14:paraId="662DBA8D" w14:textId="77777777" w:rsidR="00706723" w:rsidRPr="00306B51" w:rsidRDefault="00706723" w:rsidP="008B38AF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HELENA CHRYSTELLO, EBI MAIA, S. MIGUEL AÇORES</w:t>
      </w:r>
    </w:p>
    <w:p w14:paraId="035AAE8F" w14:textId="77777777" w:rsidR="008B38AF" w:rsidRPr="00306B51" w:rsidRDefault="008B38AF" w:rsidP="008B38AF">
      <w:pPr>
        <w:spacing w:line="360" w:lineRule="auto"/>
        <w:jc w:val="both"/>
        <w:rPr>
          <w:rFonts w:ascii="Arial" w:hAnsi="Arial"/>
          <w:sz w:val="20"/>
        </w:rPr>
      </w:pPr>
      <w:r w:rsidRPr="00306B51">
        <w:rPr>
          <w:rFonts w:ascii="Arial" w:hAnsi="Arial"/>
          <w:sz w:val="20"/>
        </w:rPr>
        <w:tab/>
      </w:r>
      <w:r w:rsidRPr="00306B51">
        <w:rPr>
          <w:rFonts w:ascii="Arial" w:hAnsi="Arial"/>
          <w:sz w:val="20"/>
        </w:rPr>
        <w:tab/>
      </w:r>
      <w:r w:rsidRPr="00306B51">
        <w:rPr>
          <w:rFonts w:ascii="Arial" w:hAnsi="Arial"/>
          <w:sz w:val="20"/>
        </w:rPr>
        <w:tab/>
      </w:r>
      <w:r w:rsidRPr="00306B51">
        <w:rPr>
          <w:rFonts w:ascii="Arial" w:hAnsi="Arial"/>
          <w:sz w:val="20"/>
        </w:rPr>
        <w:tab/>
        <w:t xml:space="preserve">.  </w:t>
      </w:r>
    </w:p>
    <w:sectPr w:rsidR="008B38AF" w:rsidRPr="00306B51">
      <w:footerReference w:type="even" r:id="rId6"/>
      <w:footerReference w:type="default" r:id="rId7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23713" w14:textId="77777777" w:rsidR="00657D79" w:rsidRDefault="00657D79">
      <w:r>
        <w:separator/>
      </w:r>
    </w:p>
  </w:endnote>
  <w:endnote w:type="continuationSeparator" w:id="0">
    <w:p w14:paraId="41EED0C2" w14:textId="77777777" w:rsidR="00657D79" w:rsidRDefault="0065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B824" w14:textId="77777777" w:rsidR="008B38AF" w:rsidRDefault="008B38AF" w:rsidP="008B38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972D1A" w14:textId="77777777" w:rsidR="008B38AF" w:rsidRDefault="008B38AF" w:rsidP="008B38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359E5" w14:textId="77777777" w:rsidR="008B38AF" w:rsidRDefault="008B38AF" w:rsidP="008B38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0CC7">
      <w:rPr>
        <w:rStyle w:val="PageNumber"/>
        <w:noProof/>
      </w:rPr>
      <w:t>8</w:t>
    </w:r>
    <w:r>
      <w:rPr>
        <w:rStyle w:val="PageNumber"/>
      </w:rPr>
      <w:fldChar w:fldCharType="end"/>
    </w:r>
  </w:p>
  <w:p w14:paraId="273C6C40" w14:textId="77777777" w:rsidR="008B38AF" w:rsidRDefault="008B38AF" w:rsidP="008B38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C44CF" w14:textId="77777777" w:rsidR="00657D79" w:rsidRDefault="00657D79">
      <w:r>
        <w:separator/>
      </w:r>
    </w:p>
  </w:footnote>
  <w:footnote w:type="continuationSeparator" w:id="0">
    <w:p w14:paraId="7EF05C1C" w14:textId="77777777" w:rsidR="00657D79" w:rsidRDefault="00657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141"/>
    <w:rsid w:val="00050141"/>
    <w:rsid w:val="00657D79"/>
    <w:rsid w:val="00706723"/>
    <w:rsid w:val="00833F74"/>
    <w:rsid w:val="008B38AF"/>
    <w:rsid w:val="00B70CC7"/>
    <w:rsid w:val="00BB4A64"/>
    <w:rsid w:val="00E5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5DF3D0"/>
  <w15:docId w15:val="{926A5DB0-1743-4A62-8135-F3F87D7B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Footer">
    <w:name w:val="footer"/>
    <w:basedOn w:val="Normal"/>
    <w:semiHidden/>
    <w:rsid w:val="00306B5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6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INTRODUÇÃO</vt:lpstr>
    </vt:vector>
  </TitlesOfParts>
  <Company>...</Company>
  <LinksUpToDate>false</LinksUpToDate>
  <CharactersWithSpaces>21429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...</dc:creator>
  <cp:keywords/>
  <cp:lastModifiedBy>Dr Chrys Chrystello</cp:lastModifiedBy>
  <cp:revision>2</cp:revision>
  <cp:lastPrinted>2011-11-28T09:39:00Z</cp:lastPrinted>
  <dcterms:created xsi:type="dcterms:W3CDTF">2014-10-12T13:06:00Z</dcterms:created>
  <dcterms:modified xsi:type="dcterms:W3CDTF">2014-10-12T13:06:00Z</dcterms:modified>
</cp:coreProperties>
</file>