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5D" w:rsidRPr="00D606DD" w:rsidRDefault="00BD7409" w:rsidP="00D606DD">
      <w:pPr>
        <w:ind w:left="-567"/>
        <w:jc w:val="both"/>
        <w:rPr>
          <w:rFonts w:ascii="Arial" w:hAnsi="Arial" w:cs="Arial"/>
          <w:b/>
          <w:color w:val="984806" w:themeColor="accent6" w:themeShade="80"/>
          <w:sz w:val="44"/>
          <w:szCs w:val="44"/>
        </w:rPr>
      </w:pPr>
      <w:r w:rsidRPr="00D606DD">
        <w:rPr>
          <w:rFonts w:ascii="Arial" w:hAnsi="Arial" w:cs="Arial"/>
          <w:b/>
          <w:color w:val="984806" w:themeColor="accent6" w:themeShade="80"/>
          <w:sz w:val="44"/>
          <w:szCs w:val="44"/>
        </w:rPr>
        <w:t>2015 - ANO INTERNACIONAL DOS SOLOS</w:t>
      </w:r>
    </w:p>
    <w:p w:rsidR="00D91C5D" w:rsidRPr="00D606DD" w:rsidRDefault="00BD7409" w:rsidP="00D606DD">
      <w:pPr>
        <w:ind w:left="-567"/>
        <w:jc w:val="both"/>
        <w:rPr>
          <w:color w:val="984806" w:themeColor="accent6" w:themeShade="80"/>
        </w:rPr>
      </w:pPr>
      <w:r w:rsidRPr="00D606DD">
        <w:rPr>
          <w:noProof/>
          <w:color w:val="984806" w:themeColor="accent6" w:themeShade="80"/>
        </w:rPr>
        <w:drawing>
          <wp:inline distT="0" distB="0" distL="0" distR="0" wp14:anchorId="6C2BFBFB" wp14:editId="6E6ECA36">
            <wp:extent cx="1155701" cy="1313178"/>
            <wp:effectExtent l="0" t="0" r="6349" b="1272"/>
            <wp:docPr id="1" name="Imagem 3" descr="http://t1.gstatic.com/images?q=tbn:ANd9GcQQk9bj0hKs_1-oSbmwEmNBI9gsNZCeZK7JESv-V_PBz98nDGCJJ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55643" t="13386" b="12046"/>
                    <a:stretch>
                      <a:fillRect/>
                    </a:stretch>
                  </pic:blipFill>
                  <pic:spPr>
                    <a:xfrm>
                      <a:off x="0" y="0"/>
                      <a:ext cx="1155701" cy="1313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91C5D" w:rsidRDefault="00BD7409">
      <w:pPr>
        <w:ind w:left="-567"/>
        <w:jc w:val="both"/>
        <w:rPr>
          <w:rFonts w:ascii="Arial" w:hAnsi="Arial" w:cs="Arial"/>
          <w:b/>
          <w:color w:val="F79646"/>
          <w:sz w:val="28"/>
          <w:szCs w:val="28"/>
        </w:rPr>
      </w:pPr>
      <w:r>
        <w:rPr>
          <w:rFonts w:ascii="Arial" w:hAnsi="Arial" w:cs="Arial"/>
          <w:b/>
          <w:color w:val="F79646"/>
          <w:sz w:val="28"/>
          <w:szCs w:val="28"/>
        </w:rPr>
        <w:t>FALANDO DOS SOLOS (6)</w:t>
      </w:r>
    </w:p>
    <w:p w:rsidR="00D91C5D" w:rsidRDefault="00D91C5D">
      <w:pPr>
        <w:ind w:left="-567"/>
        <w:rPr>
          <w:color w:val="F79646"/>
        </w:rPr>
      </w:pPr>
    </w:p>
    <w:p w:rsidR="00D91C5D" w:rsidRDefault="00BD7409">
      <w:pPr>
        <w:spacing w:line="360" w:lineRule="auto"/>
        <w:ind w:left="-567"/>
        <w:jc w:val="both"/>
      </w:pPr>
      <w:r>
        <w:rPr>
          <w:rFonts w:ascii="Arial" w:hAnsi="Arial" w:cs="Arial"/>
          <w:color w:val="002060"/>
          <w:sz w:val="24"/>
          <w:szCs w:val="24"/>
        </w:rPr>
        <w:t xml:space="preserve">Para os romanos, </w:t>
      </w:r>
      <w:r>
        <w:rPr>
          <w:rFonts w:ascii="Arial" w:hAnsi="Arial" w:cs="Arial"/>
          <w:i/>
          <w:color w:val="002060"/>
          <w:sz w:val="24"/>
          <w:szCs w:val="24"/>
        </w:rPr>
        <w:t>solum</w:t>
      </w:r>
      <w:r>
        <w:rPr>
          <w:rFonts w:ascii="Arial" w:hAnsi="Arial" w:cs="Arial"/>
          <w:color w:val="002060"/>
          <w:sz w:val="24"/>
          <w:szCs w:val="24"/>
        </w:rPr>
        <w:t xml:space="preserve"> aludia não só ao solo, tal como ele é descrito em pedologia,  mas também ao chão que pisavam, à terra onde nasciam e ao território pátrio que foi o deles.</w:t>
      </w:r>
    </w:p>
    <w:p w:rsidR="00D91C5D" w:rsidRDefault="00BD7409">
      <w:pPr>
        <w:spacing w:line="360" w:lineRule="auto"/>
        <w:ind w:left="-567"/>
        <w:jc w:val="both"/>
      </w:pPr>
      <w:r>
        <w:rPr>
          <w:rFonts w:ascii="Arial" w:hAnsi="Arial" w:cs="Arial"/>
          <w:color w:val="002060"/>
          <w:sz w:val="24"/>
          <w:szCs w:val="24"/>
        </w:rPr>
        <w:t xml:space="preserve">Alguns pedólogos adoptaram este termo latino para designar apenas a parte superior, mais alterada, do perfil pedológico, rica em matéria orgânica, designando por </w:t>
      </w:r>
      <w:r>
        <w:rPr>
          <w:rFonts w:ascii="Arial" w:hAnsi="Arial" w:cs="Arial"/>
          <w:b/>
          <w:color w:val="002060"/>
          <w:sz w:val="24"/>
          <w:szCs w:val="24"/>
        </w:rPr>
        <w:t>alterito</w:t>
      </w:r>
      <w:r>
        <w:rPr>
          <w:rFonts w:ascii="Arial" w:hAnsi="Arial" w:cs="Arial"/>
          <w:color w:val="002060"/>
          <w:sz w:val="24"/>
          <w:szCs w:val="24"/>
        </w:rPr>
        <w:t xml:space="preserve">, </w:t>
      </w:r>
      <w:r>
        <w:rPr>
          <w:rFonts w:ascii="Arial" w:hAnsi="Arial" w:cs="Arial"/>
          <w:b/>
          <w:color w:val="002060"/>
          <w:sz w:val="24"/>
          <w:szCs w:val="24"/>
        </w:rPr>
        <w:t>rególito</w:t>
      </w:r>
      <w:r>
        <w:rPr>
          <w:rFonts w:ascii="Arial" w:hAnsi="Arial" w:cs="Arial"/>
          <w:color w:val="002060"/>
          <w:sz w:val="24"/>
          <w:szCs w:val="24"/>
        </w:rPr>
        <w:t xml:space="preserve"> (do grego </w:t>
      </w:r>
      <w:r>
        <w:rPr>
          <w:rFonts w:ascii="Arial" w:hAnsi="Arial" w:cs="Arial"/>
          <w:i/>
          <w:color w:val="002060"/>
          <w:sz w:val="24"/>
          <w:szCs w:val="24"/>
        </w:rPr>
        <w:t>rhegós</w:t>
      </w:r>
      <w:r>
        <w:rPr>
          <w:rFonts w:ascii="Arial" w:hAnsi="Arial" w:cs="Arial"/>
          <w:color w:val="002060"/>
          <w:sz w:val="24"/>
          <w:szCs w:val="24"/>
        </w:rPr>
        <w:t xml:space="preserve">, cobertura, e </w:t>
      </w:r>
      <w:r>
        <w:rPr>
          <w:rFonts w:ascii="Arial" w:hAnsi="Arial" w:cs="Arial"/>
          <w:i/>
          <w:color w:val="002060"/>
          <w:sz w:val="24"/>
          <w:szCs w:val="24"/>
        </w:rPr>
        <w:t>lithós</w:t>
      </w:r>
      <w:r>
        <w:rPr>
          <w:rFonts w:ascii="Arial" w:hAnsi="Arial" w:cs="Arial"/>
          <w:color w:val="002060"/>
          <w:sz w:val="24"/>
          <w:szCs w:val="24"/>
        </w:rPr>
        <w:t xml:space="preserve">, pedra) ou </w:t>
      </w:r>
      <w:r>
        <w:rPr>
          <w:rFonts w:ascii="Arial" w:hAnsi="Arial" w:cs="Arial"/>
          <w:b/>
          <w:color w:val="002060"/>
          <w:sz w:val="24"/>
          <w:szCs w:val="24"/>
        </w:rPr>
        <w:t>saprólito</w:t>
      </w:r>
      <w:r>
        <w:rPr>
          <w:rFonts w:ascii="Arial" w:hAnsi="Arial" w:cs="Arial"/>
          <w:color w:val="002060"/>
          <w:sz w:val="24"/>
          <w:szCs w:val="24"/>
        </w:rPr>
        <w:t xml:space="preserve"> (do grego </w:t>
      </w:r>
      <w:r>
        <w:rPr>
          <w:rFonts w:ascii="Arial" w:hAnsi="Arial" w:cs="Arial"/>
          <w:i/>
          <w:color w:val="002060"/>
          <w:sz w:val="24"/>
          <w:szCs w:val="24"/>
        </w:rPr>
        <w:t>saprós,</w:t>
      </w:r>
      <w:r>
        <w:rPr>
          <w:rFonts w:ascii="Arial" w:hAnsi="Arial" w:cs="Arial"/>
          <w:color w:val="002060"/>
          <w:sz w:val="24"/>
          <w:szCs w:val="24"/>
        </w:rPr>
        <w:t xml:space="preserve"> podre, e </w:t>
      </w:r>
      <w:r>
        <w:rPr>
          <w:rFonts w:ascii="Arial" w:hAnsi="Arial" w:cs="Arial"/>
          <w:i/>
          <w:color w:val="002060"/>
          <w:sz w:val="24"/>
          <w:szCs w:val="24"/>
        </w:rPr>
        <w:t>lithós</w:t>
      </w:r>
      <w:r>
        <w:rPr>
          <w:rFonts w:ascii="Arial" w:hAnsi="Arial" w:cs="Arial"/>
          <w:color w:val="002060"/>
          <w:sz w:val="24"/>
          <w:szCs w:val="24"/>
        </w:rPr>
        <w:t xml:space="preserve">, pedra) a restante parte do perfil que se lhe segue em profundidade, representada pela rocha-mãe simplesmente meteorizada. </w:t>
      </w:r>
    </w:p>
    <w:p w:rsidR="00D91C5D" w:rsidRDefault="00BD7409">
      <w:pPr>
        <w:pStyle w:val="Textodenotaderodap"/>
        <w:ind w:left="-567"/>
      </w:pPr>
      <w:r>
        <w:rPr>
          <w:rFonts w:ascii="Arial" w:hAnsi="Arial" w:cs="Arial"/>
          <w:color w:val="002060"/>
          <w:sz w:val="24"/>
          <w:szCs w:val="24"/>
        </w:rPr>
        <w:t>Em geologia planetária fala-se, por exemplo, de “solo lunar”, embora sabendo que esta entidade não possui a componente viva essencial à sua definição na Terra. São muitos os que lhe chamam rególito, termo neste caso mais correcto, posto que alude à sua condição de material incoerente de cobertura que não resulta de um processo de meteorização (ali inexistente), mas sim, da pulverização da crosta rochosa</w:t>
      </w:r>
      <w:r w:rsidR="00F26C9E">
        <w:rPr>
          <w:rFonts w:ascii="Arial" w:hAnsi="Arial" w:cs="Arial"/>
          <w:color w:val="002060"/>
          <w:sz w:val="24"/>
          <w:szCs w:val="24"/>
        </w:rPr>
        <w:t xml:space="preserve"> selenita (em especial, anortositos e basaltos)</w:t>
      </w:r>
      <w:r>
        <w:rPr>
          <w:rFonts w:ascii="Arial" w:hAnsi="Arial" w:cs="Arial"/>
          <w:color w:val="002060"/>
          <w:sz w:val="24"/>
          <w:szCs w:val="24"/>
        </w:rPr>
        <w:t xml:space="preserve">, na sequência dos impactes meteoríticos a que esteve intensamente sujeita num passado longínquo, há milhares de milhões de anos, e ainda está, embora mínimo e sem expressão actual. Do mesmo modo, o “solo marciano” não passa de areia solta e </w:t>
      </w:r>
      <w:r w:rsidR="00F26C9E">
        <w:rPr>
          <w:rFonts w:ascii="Arial" w:hAnsi="Arial" w:cs="Arial"/>
          <w:color w:val="002060"/>
          <w:sz w:val="24"/>
          <w:szCs w:val="24"/>
        </w:rPr>
        <w:t xml:space="preserve"> pedras (</w:t>
      </w:r>
      <w:r>
        <w:rPr>
          <w:rFonts w:ascii="Arial" w:hAnsi="Arial" w:cs="Arial"/>
          <w:color w:val="002060"/>
          <w:sz w:val="24"/>
          <w:szCs w:val="24"/>
        </w:rPr>
        <w:t>fragmentos de rocha dispersos</w:t>
      </w:r>
      <w:r w:rsidR="00F26C9E">
        <w:rPr>
          <w:rFonts w:ascii="Arial" w:hAnsi="Arial" w:cs="Arial"/>
          <w:color w:val="002060"/>
          <w:sz w:val="24"/>
          <w:szCs w:val="24"/>
        </w:rPr>
        <w:t>)</w:t>
      </w:r>
      <w:r>
        <w:rPr>
          <w:rFonts w:ascii="Arial" w:hAnsi="Arial" w:cs="Arial"/>
          <w:color w:val="002060"/>
          <w:sz w:val="24"/>
          <w:szCs w:val="24"/>
        </w:rPr>
        <w:t xml:space="preserve"> à superfície do “planeta vermelho”.</w:t>
      </w:r>
    </w:p>
    <w:p w:rsidR="00D91C5D" w:rsidRDefault="00D91C5D">
      <w:pPr>
        <w:pStyle w:val="Textodenotaderodap"/>
        <w:ind w:left="-567"/>
        <w:rPr>
          <w:rFonts w:ascii="Arial" w:hAnsi="Arial" w:cs="Arial"/>
          <w:b/>
          <w:color w:val="002060"/>
          <w:sz w:val="24"/>
          <w:szCs w:val="24"/>
        </w:rPr>
      </w:pPr>
    </w:p>
    <w:p w:rsidR="00D91C5D" w:rsidRDefault="00BD7409">
      <w:pPr>
        <w:spacing w:line="360" w:lineRule="auto"/>
        <w:ind w:left="-567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No sentido a que se referem pedólogos e geólogos, a composição do solo decorre da</w:t>
      </w:r>
      <w:r w:rsidR="00F26C9E">
        <w:rPr>
          <w:rFonts w:ascii="Arial" w:hAnsi="Arial" w:cs="Arial"/>
          <w:color w:val="002060"/>
          <w:sz w:val="24"/>
          <w:szCs w:val="24"/>
        </w:rPr>
        <w:t xml:space="preserve"> </w:t>
      </w:r>
      <w:r w:rsidRPr="00F26C9E">
        <w:rPr>
          <w:rFonts w:ascii="Arial" w:hAnsi="Arial" w:cs="Arial"/>
          <w:b/>
          <w:color w:val="002060"/>
          <w:sz w:val="24"/>
          <w:szCs w:val="24"/>
        </w:rPr>
        <w:t>natureza da rocha-mãe</w:t>
      </w:r>
      <w:r>
        <w:rPr>
          <w:rFonts w:ascii="Arial" w:hAnsi="Arial" w:cs="Arial"/>
          <w:color w:val="002060"/>
          <w:sz w:val="24"/>
          <w:szCs w:val="24"/>
        </w:rPr>
        <w:t>,</w:t>
      </w:r>
      <w:r w:rsidR="00F26C9E">
        <w:rPr>
          <w:rFonts w:ascii="Arial" w:hAnsi="Arial" w:cs="Arial"/>
          <w:color w:val="002060"/>
          <w:sz w:val="24"/>
          <w:szCs w:val="24"/>
        </w:rPr>
        <w:t xml:space="preserve"> da </w:t>
      </w:r>
      <w:r w:rsidR="00F26C9E" w:rsidRPr="00F26C9E">
        <w:rPr>
          <w:rFonts w:ascii="Arial" w:hAnsi="Arial" w:cs="Arial"/>
          <w:b/>
          <w:color w:val="002060"/>
          <w:sz w:val="24"/>
          <w:szCs w:val="24"/>
        </w:rPr>
        <w:t>topografia</w:t>
      </w:r>
      <w:r w:rsidR="00F26C9E">
        <w:rPr>
          <w:rFonts w:ascii="Arial" w:hAnsi="Arial" w:cs="Arial"/>
          <w:color w:val="002060"/>
          <w:sz w:val="24"/>
          <w:szCs w:val="24"/>
        </w:rPr>
        <w:t xml:space="preserve"> e </w:t>
      </w:r>
      <w:r>
        <w:rPr>
          <w:rFonts w:ascii="Arial" w:hAnsi="Arial" w:cs="Arial"/>
          <w:color w:val="002060"/>
          <w:sz w:val="24"/>
          <w:szCs w:val="24"/>
        </w:rPr>
        <w:t xml:space="preserve">do </w:t>
      </w:r>
      <w:r w:rsidRPr="00F26C9E">
        <w:rPr>
          <w:rFonts w:ascii="Arial" w:hAnsi="Arial" w:cs="Arial"/>
          <w:b/>
          <w:color w:val="002060"/>
          <w:sz w:val="24"/>
          <w:szCs w:val="24"/>
        </w:rPr>
        <w:t>clima</w:t>
      </w:r>
      <w:r>
        <w:rPr>
          <w:rFonts w:ascii="Arial" w:hAnsi="Arial" w:cs="Arial"/>
          <w:color w:val="002060"/>
          <w:sz w:val="24"/>
          <w:szCs w:val="24"/>
        </w:rPr>
        <w:t xml:space="preserve">, quer o decorrente da zonalidade latitudinal, quer o relacionado com a altitude, e, consequentemente, dos processos que lhe deram origem. A rocha-mãe começa por se descomprimir, por diminuição da pressão litostática com a aproximação da superfície, e, eventualmente, a sofrer alguma </w:t>
      </w:r>
      <w:r w:rsidRPr="00F26C9E">
        <w:rPr>
          <w:rFonts w:ascii="Arial" w:hAnsi="Arial" w:cs="Arial"/>
          <w:b/>
          <w:color w:val="002060"/>
          <w:sz w:val="24"/>
          <w:szCs w:val="24"/>
        </w:rPr>
        <w:t>desagregação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Pr="00F26C9E">
        <w:rPr>
          <w:rFonts w:ascii="Arial" w:hAnsi="Arial" w:cs="Arial"/>
          <w:b/>
          <w:color w:val="002060"/>
          <w:sz w:val="24"/>
          <w:szCs w:val="24"/>
        </w:rPr>
        <w:t>mecânica</w:t>
      </w:r>
      <w:r>
        <w:rPr>
          <w:rFonts w:ascii="Arial" w:hAnsi="Arial" w:cs="Arial"/>
          <w:color w:val="002060"/>
          <w:sz w:val="24"/>
          <w:szCs w:val="24"/>
        </w:rPr>
        <w:t xml:space="preserve">, abrindo-se à penetração da água e dos gases atmosféricos </w:t>
      </w:r>
      <w:r w:rsidR="00F26C9E">
        <w:rPr>
          <w:rFonts w:ascii="Arial" w:hAnsi="Arial" w:cs="Arial"/>
          <w:color w:val="002060"/>
          <w:sz w:val="24"/>
          <w:szCs w:val="24"/>
        </w:rPr>
        <w:t xml:space="preserve"> (oxigénio e dióxido de carbono) </w:t>
      </w:r>
      <w:r>
        <w:rPr>
          <w:rFonts w:ascii="Arial" w:hAnsi="Arial" w:cs="Arial"/>
          <w:color w:val="002060"/>
          <w:sz w:val="24"/>
          <w:szCs w:val="24"/>
        </w:rPr>
        <w:t>que promovem a sua meteorização química abiótica (</w:t>
      </w:r>
      <w:r w:rsidRPr="00F26C9E">
        <w:rPr>
          <w:rFonts w:ascii="Arial" w:hAnsi="Arial" w:cs="Arial"/>
          <w:b/>
          <w:color w:val="002060"/>
          <w:sz w:val="24"/>
          <w:szCs w:val="24"/>
        </w:rPr>
        <w:t>decomposição</w:t>
      </w:r>
      <w:r>
        <w:rPr>
          <w:rFonts w:ascii="Arial" w:hAnsi="Arial" w:cs="Arial"/>
          <w:color w:val="002060"/>
          <w:sz w:val="24"/>
          <w:szCs w:val="24"/>
        </w:rPr>
        <w:t xml:space="preserve">), mais ou menos pronunciada, em função das citadas condições </w:t>
      </w:r>
      <w:r>
        <w:rPr>
          <w:rFonts w:ascii="Arial" w:hAnsi="Arial" w:cs="Arial"/>
          <w:color w:val="002060"/>
          <w:sz w:val="24"/>
          <w:szCs w:val="24"/>
        </w:rPr>
        <w:lastRenderedPageBreak/>
        <w:t xml:space="preserve">ambientais. Como resultado, a rocha </w:t>
      </w:r>
      <w:r w:rsidR="00C600ED">
        <w:rPr>
          <w:rFonts w:ascii="Arial" w:hAnsi="Arial" w:cs="Arial"/>
          <w:color w:val="002060"/>
          <w:sz w:val="24"/>
          <w:szCs w:val="24"/>
        </w:rPr>
        <w:t xml:space="preserve">evolui para um </w:t>
      </w:r>
      <w:r>
        <w:rPr>
          <w:rFonts w:ascii="Arial" w:hAnsi="Arial" w:cs="Arial"/>
          <w:color w:val="002060"/>
          <w:sz w:val="24"/>
          <w:szCs w:val="24"/>
        </w:rPr>
        <w:t>material terrígeno</w:t>
      </w:r>
      <w:r w:rsidR="00C600ED">
        <w:rPr>
          <w:rFonts w:ascii="Arial" w:hAnsi="Arial" w:cs="Arial"/>
          <w:color w:val="002060"/>
          <w:sz w:val="24"/>
          <w:szCs w:val="24"/>
        </w:rPr>
        <w:t xml:space="preserve"> (fenoclastos</w:t>
      </w:r>
      <w:r w:rsidR="00C600ED">
        <w:rPr>
          <w:rStyle w:val="Refdenotaderodap"/>
          <w:rFonts w:ascii="Arial" w:hAnsi="Arial" w:cs="Arial"/>
          <w:color w:val="002060"/>
          <w:sz w:val="24"/>
          <w:szCs w:val="24"/>
        </w:rPr>
        <w:footnoteReference w:id="1"/>
      </w:r>
      <w:r w:rsidR="00C600ED">
        <w:rPr>
          <w:rFonts w:ascii="Arial" w:hAnsi="Arial" w:cs="Arial"/>
          <w:color w:val="002060"/>
          <w:sz w:val="24"/>
          <w:szCs w:val="24"/>
        </w:rPr>
        <w:t>, areia, silte e argila)</w:t>
      </w:r>
      <w:r>
        <w:rPr>
          <w:rFonts w:ascii="Arial" w:hAnsi="Arial" w:cs="Arial"/>
          <w:color w:val="002060"/>
          <w:sz w:val="24"/>
          <w:szCs w:val="24"/>
        </w:rPr>
        <w:t xml:space="preserve"> incoerente ou desagregado, </w:t>
      </w:r>
      <w:r w:rsidR="00D606DD">
        <w:rPr>
          <w:rFonts w:ascii="Arial" w:hAnsi="Arial" w:cs="Arial"/>
          <w:color w:val="002060"/>
          <w:sz w:val="24"/>
          <w:szCs w:val="24"/>
        </w:rPr>
        <w:t xml:space="preserve"> ou seja</w:t>
      </w:r>
      <w:bookmarkStart w:id="0" w:name="_GoBack"/>
      <w:bookmarkEnd w:id="0"/>
      <w:r w:rsidR="00C600ED">
        <w:rPr>
          <w:rFonts w:ascii="Arial" w:hAnsi="Arial" w:cs="Arial"/>
          <w:color w:val="002060"/>
          <w:sz w:val="24"/>
          <w:szCs w:val="24"/>
        </w:rPr>
        <w:t xml:space="preserve">, o alterito, </w:t>
      </w:r>
      <w:r>
        <w:rPr>
          <w:rFonts w:ascii="Arial" w:hAnsi="Arial" w:cs="Arial"/>
          <w:color w:val="002060"/>
          <w:sz w:val="24"/>
          <w:szCs w:val="24"/>
        </w:rPr>
        <w:t xml:space="preserve">como é, por exemplo, no caso do granito ou do gnaisse, o </w:t>
      </w:r>
      <w:r>
        <w:rPr>
          <w:rFonts w:ascii="Arial" w:hAnsi="Arial" w:cs="Arial"/>
          <w:b/>
          <w:color w:val="002060"/>
          <w:sz w:val="24"/>
          <w:szCs w:val="24"/>
        </w:rPr>
        <w:t>saibro</w:t>
      </w:r>
      <w:r>
        <w:rPr>
          <w:rFonts w:ascii="Arial" w:hAnsi="Arial" w:cs="Arial"/>
          <w:color w:val="002060"/>
          <w:sz w:val="24"/>
          <w:szCs w:val="24"/>
        </w:rPr>
        <w:t xml:space="preserve"> ou </w:t>
      </w:r>
      <w:r>
        <w:rPr>
          <w:rFonts w:ascii="Arial" w:hAnsi="Arial" w:cs="Arial"/>
          <w:b/>
          <w:color w:val="002060"/>
          <w:sz w:val="24"/>
          <w:szCs w:val="24"/>
        </w:rPr>
        <w:t>arena</w:t>
      </w:r>
      <w:r>
        <w:rPr>
          <w:rFonts w:ascii="Arial" w:hAnsi="Arial" w:cs="Arial"/>
          <w:color w:val="002060"/>
          <w:sz w:val="24"/>
          <w:szCs w:val="24"/>
        </w:rPr>
        <w:t>. Via de regra, a esta fase segue-se a instalação de microorganismos e de plantas sucessivamente mais exigentes (muscíneas, he</w:t>
      </w:r>
      <w:r w:rsidR="00C600ED">
        <w:rPr>
          <w:rFonts w:ascii="Arial" w:hAnsi="Arial" w:cs="Arial"/>
          <w:color w:val="002060"/>
          <w:sz w:val="24"/>
          <w:szCs w:val="24"/>
        </w:rPr>
        <w:t>rbáceas, arbustivas e arbóreas), transformando o alterito num solo.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C600ED" w:rsidRDefault="00C600ED" w:rsidP="00C600ED">
      <w:pPr>
        <w:spacing w:line="360" w:lineRule="auto"/>
        <w:ind w:left="-567"/>
        <w:jc w:val="center"/>
      </w:pPr>
      <w:r>
        <w:rPr>
          <w:rFonts w:ascii="Arial" w:hAnsi="Arial" w:cs="Arial"/>
          <w:noProof/>
          <w:color w:val="002060"/>
          <w:sz w:val="24"/>
          <w:szCs w:val="24"/>
        </w:rPr>
        <w:drawing>
          <wp:inline distT="0" distB="0" distL="0" distR="0" wp14:anchorId="625D4B8D" wp14:editId="30284B12">
            <wp:extent cx="5000625" cy="2752728"/>
            <wp:effectExtent l="0" t="0" r="9525" b="9522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4872" t="5411" r="5969" b="7317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7527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91C5D" w:rsidRDefault="00BD7409">
      <w:pPr>
        <w:spacing w:line="360" w:lineRule="auto"/>
        <w:ind w:left="-567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 invasão desta capa de alteração (ou de um qualquer tipo de depósito aluvionar) pela vida vegetal acrescenta-lhe, ainda, os seus restos mortos em decomposição e os produtos da sua actividade biológica, desenvolvendo processos bioquímicos hoje muito bem estudados.</w:t>
      </w:r>
    </w:p>
    <w:p w:rsidR="00D91C5D" w:rsidRDefault="00BD7409">
      <w:pPr>
        <w:spacing w:line="360" w:lineRule="auto"/>
        <w:ind w:left="-567"/>
        <w:jc w:val="both"/>
      </w:pPr>
      <w:r>
        <w:rPr>
          <w:rFonts w:ascii="Verdana" w:hAnsi="Verdana"/>
          <w:color w:val="002060"/>
          <w:sz w:val="24"/>
          <w:szCs w:val="24"/>
        </w:rPr>
        <w:t xml:space="preserve">Consoante a intensidade e a duração deste processo podemos distinguir </w:t>
      </w:r>
      <w:r>
        <w:rPr>
          <w:rFonts w:ascii="Verdana" w:hAnsi="Verdana" w:cs="Arial"/>
          <w:b/>
          <w:color w:val="002060"/>
          <w:sz w:val="24"/>
          <w:szCs w:val="24"/>
        </w:rPr>
        <w:t>solos imaturos</w:t>
      </w:r>
      <w:r>
        <w:rPr>
          <w:rFonts w:ascii="Verdana" w:hAnsi="Verdana" w:cs="Arial"/>
          <w:color w:val="002060"/>
          <w:sz w:val="24"/>
          <w:szCs w:val="24"/>
        </w:rPr>
        <w:t xml:space="preserve"> ou </w:t>
      </w:r>
      <w:r>
        <w:rPr>
          <w:rFonts w:ascii="Verdana" w:hAnsi="Verdana" w:cs="Arial"/>
          <w:b/>
          <w:color w:val="002060"/>
          <w:sz w:val="24"/>
          <w:szCs w:val="24"/>
        </w:rPr>
        <w:t>incipientes</w:t>
      </w:r>
      <w:r>
        <w:rPr>
          <w:rFonts w:ascii="Verdana" w:hAnsi="Verdana" w:cs="Arial"/>
          <w:color w:val="002060"/>
          <w:sz w:val="24"/>
          <w:szCs w:val="24"/>
        </w:rPr>
        <w:t xml:space="preserve"> (pouco ou nada evoluídos), </w:t>
      </w:r>
      <w:r>
        <w:rPr>
          <w:rFonts w:ascii="Verdana" w:hAnsi="Verdana" w:cs="Arial"/>
          <w:b/>
          <w:color w:val="002060"/>
          <w:sz w:val="24"/>
          <w:szCs w:val="24"/>
        </w:rPr>
        <w:t>solos evoluídos</w:t>
      </w:r>
      <w:r>
        <w:rPr>
          <w:rFonts w:ascii="Verdana" w:hAnsi="Verdana" w:cs="Arial"/>
          <w:color w:val="002060"/>
          <w:sz w:val="24"/>
          <w:szCs w:val="24"/>
        </w:rPr>
        <w:t xml:space="preserve"> ou </w:t>
      </w:r>
      <w:r>
        <w:rPr>
          <w:rFonts w:ascii="Verdana" w:hAnsi="Verdana" w:cs="Arial"/>
          <w:b/>
          <w:color w:val="002060"/>
          <w:sz w:val="24"/>
          <w:szCs w:val="24"/>
        </w:rPr>
        <w:t>maturos</w:t>
      </w:r>
      <w:r>
        <w:rPr>
          <w:rFonts w:ascii="Verdana" w:hAnsi="Verdana" w:cs="Arial"/>
          <w:color w:val="002060"/>
          <w:sz w:val="24"/>
          <w:szCs w:val="24"/>
        </w:rPr>
        <w:t>, havendo todos</w:t>
      </w:r>
      <w:r>
        <w:rPr>
          <w:rFonts w:ascii="Verdana" w:hAnsi="Verdana"/>
          <w:color w:val="002060"/>
          <w:sz w:val="24"/>
          <w:szCs w:val="24"/>
        </w:rPr>
        <w:t xml:space="preserve"> os termos de passagem entre estes dois extremos. </w:t>
      </w:r>
    </w:p>
    <w:p w:rsidR="00D91C5D" w:rsidRDefault="00D91C5D">
      <w:pPr>
        <w:spacing w:line="360" w:lineRule="auto"/>
        <w:ind w:left="-567"/>
        <w:jc w:val="both"/>
        <w:rPr>
          <w:color w:val="002060"/>
        </w:rPr>
      </w:pPr>
    </w:p>
    <w:sectPr w:rsidR="00D91C5D">
      <w:footerReference w:type="default" r:id="rId9"/>
      <w:pgSz w:w="11906" w:h="16838"/>
      <w:pgMar w:top="1417" w:right="1133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65" w:rsidRDefault="00183A65">
      <w:r>
        <w:separator/>
      </w:r>
    </w:p>
  </w:endnote>
  <w:endnote w:type="continuationSeparator" w:id="0">
    <w:p w:rsidR="00183A65" w:rsidRDefault="0018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3B" w:rsidRDefault="00BD7409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D606DD">
      <w:rPr>
        <w:noProof/>
      </w:rPr>
      <w:t>1</w:t>
    </w:r>
    <w:r>
      <w:fldChar w:fldCharType="end"/>
    </w:r>
  </w:p>
  <w:p w:rsidR="009E1B3B" w:rsidRDefault="00183A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65" w:rsidRDefault="00183A65">
      <w:r>
        <w:rPr>
          <w:color w:val="000000"/>
        </w:rPr>
        <w:separator/>
      </w:r>
    </w:p>
  </w:footnote>
  <w:footnote w:type="continuationSeparator" w:id="0">
    <w:p w:rsidR="00183A65" w:rsidRDefault="00183A65">
      <w:r>
        <w:continuationSeparator/>
      </w:r>
    </w:p>
  </w:footnote>
  <w:footnote w:id="1">
    <w:p w:rsidR="00C600ED" w:rsidRDefault="00C600ED">
      <w:pPr>
        <w:pStyle w:val="Textodenotaderodap"/>
      </w:pPr>
      <w:r w:rsidRPr="00D606DD">
        <w:rPr>
          <w:rStyle w:val="Refdenotaderodap"/>
          <w:rFonts w:ascii="Arial" w:hAnsi="Arial" w:cs="Arial"/>
        </w:rPr>
        <w:footnoteRef/>
      </w:r>
      <w:r w:rsidRPr="00D606DD">
        <w:rPr>
          <w:rFonts w:ascii="Arial" w:hAnsi="Arial" w:cs="Arial"/>
        </w:rPr>
        <w:t xml:space="preserve"> - Fragmentos ou clastos rochoso</w:t>
      </w:r>
      <w:r w:rsidR="00D606DD">
        <w:rPr>
          <w:rFonts w:ascii="Arial" w:hAnsi="Arial" w:cs="Arial"/>
        </w:rPr>
        <w:t>s de dimensão superior à</w:t>
      </w:r>
      <w:r w:rsidRPr="00D606DD">
        <w:rPr>
          <w:rFonts w:ascii="Arial" w:hAnsi="Arial" w:cs="Arial"/>
        </w:rPr>
        <w:t xml:space="preserve"> das areias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1C5D"/>
    <w:rsid w:val="00183A65"/>
    <w:rsid w:val="002D4B26"/>
    <w:rsid w:val="0040480A"/>
    <w:rsid w:val="00BD7409"/>
    <w:rsid w:val="00C600ED"/>
    <w:rsid w:val="00CA1CA3"/>
    <w:rsid w:val="00D606DD"/>
    <w:rsid w:val="00D91C5D"/>
    <w:rsid w:val="00F2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AE2A8-38D6-41E5-932E-9E4B9486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pPr>
      <w:spacing w:line="360" w:lineRule="auto"/>
      <w:jc w:val="both"/>
    </w:pPr>
  </w:style>
  <w:style w:type="character" w:customStyle="1" w:styleId="TextodenotaderodapCarter">
    <w:name w:val="Texto de nota de rodapé Caráter"/>
    <w:basedOn w:val="Tipodeletrapredefinidodopargrafo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rpodetexto3">
    <w:name w:val="Body Text 3"/>
    <w:basedOn w:val="Normal"/>
    <w:pPr>
      <w:spacing w:line="360" w:lineRule="auto"/>
      <w:jc w:val="both"/>
    </w:pPr>
    <w:rPr>
      <w:rFonts w:ascii="Arial" w:hAnsi="Arial" w:cs="Arial"/>
      <w:sz w:val="24"/>
    </w:rPr>
  </w:style>
  <w:style w:type="character" w:customStyle="1" w:styleId="Corpodetexto3Carter">
    <w:name w:val="Corpo de texto 3 Caráter"/>
    <w:basedOn w:val="Tipodeletrapredefinidodopargrafo"/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Cabealho2Carter">
    <w:name w:val="Cabeçalho 2 Caráter"/>
    <w:basedOn w:val="Tipodeletrapredefinidodopargrafo"/>
    <w:rPr>
      <w:rFonts w:ascii="Arial" w:eastAsia="Times New Roman" w:hAnsi="Arial" w:cs="Times New Roman"/>
      <w:b/>
      <w:bCs w:val="0"/>
      <w:sz w:val="28"/>
      <w:szCs w:val="20"/>
      <w:lang w:eastAsia="pt-PT"/>
    </w:rPr>
  </w:style>
  <w:style w:type="character" w:customStyle="1" w:styleId="TextodenotaderodapCarter1">
    <w:name w:val="Texto de nota de rodapé Caráter1"/>
    <w:basedOn w:val="Tipodeletrapredefinidodopargrafo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3Carter1">
    <w:name w:val="Corpo de texto 3 Caráter1"/>
    <w:basedOn w:val="Tipodeletrapredefinidodopargrafo"/>
    <w:rPr>
      <w:rFonts w:ascii="Arial" w:eastAsia="Times New Roman" w:hAnsi="Arial" w:cs="Arial"/>
      <w:sz w:val="24"/>
      <w:szCs w:val="20"/>
      <w:lang w:eastAsia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Pr>
      <w:rFonts w:ascii="Tahoma" w:eastAsia="Times New Roman" w:hAnsi="Tahoma" w:cs="Tahoma"/>
      <w:sz w:val="16"/>
      <w:szCs w:val="16"/>
      <w:lang w:eastAsia="pt-PT"/>
    </w:rPr>
  </w:style>
  <w:style w:type="character" w:styleId="Refdenotaderodap">
    <w:name w:val="footnote reference"/>
    <w:basedOn w:val="Tipodeletrapredefinidodopar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80ACF-054A-429B-BA83-6E4264CB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2015-02-27T14:15:00Z</dcterms:created>
  <dcterms:modified xsi:type="dcterms:W3CDTF">2015-02-28T07:52:00Z</dcterms:modified>
</cp:coreProperties>
</file>